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A4E0" w14:textId="0195CD20" w:rsidR="00DB67BE" w:rsidRPr="0007563D" w:rsidRDefault="0007563D" w:rsidP="0007563D">
      <w:pPr>
        <w:jc w:val="center"/>
        <w:rPr>
          <w:b/>
          <w:bCs/>
          <w:color w:val="C00000"/>
          <w:sz w:val="32"/>
          <w:szCs w:val="32"/>
          <w:u w:val="single"/>
        </w:rPr>
      </w:pPr>
      <w:r w:rsidRPr="0007563D">
        <w:rPr>
          <w:b/>
          <w:bCs/>
          <w:color w:val="C00000"/>
          <w:sz w:val="32"/>
          <w:szCs w:val="32"/>
          <w:u w:val="single"/>
        </w:rPr>
        <w:t>Épreuve écrite en vue du poste de formateur.rice</w:t>
      </w:r>
    </w:p>
    <w:p w14:paraId="54EBFBB8" w14:textId="73C90526" w:rsidR="0007563D" w:rsidRDefault="0007563D" w:rsidP="0007563D">
      <w:pPr>
        <w:jc w:val="center"/>
        <w:rPr>
          <w:color w:val="222A35" w:themeColor="text2" w:themeShade="80"/>
          <w:sz w:val="24"/>
          <w:szCs w:val="24"/>
        </w:rPr>
      </w:pPr>
      <w:r w:rsidRPr="0007563D">
        <w:rPr>
          <w:color w:val="222A35" w:themeColor="text2" w:themeShade="80"/>
          <w:sz w:val="24"/>
          <w:szCs w:val="24"/>
        </w:rPr>
        <w:t xml:space="preserve">À renvoyer par mail à Thida Sewin : </w:t>
      </w:r>
      <w:hyperlink r:id="rId7" w:history="1">
        <w:r w:rsidRPr="00326A47">
          <w:rPr>
            <w:rStyle w:val="Lienhypertexte"/>
            <w:color w:val="023160" w:themeColor="hyperlink" w:themeShade="80"/>
            <w:sz w:val="24"/>
            <w:szCs w:val="24"/>
          </w:rPr>
          <w:t>thida.sewin@lire-et-ecrire.be</w:t>
        </w:r>
      </w:hyperlink>
    </w:p>
    <w:p w14:paraId="40164BD1" w14:textId="77777777" w:rsidR="0007563D" w:rsidRDefault="0007563D" w:rsidP="0007563D">
      <w:pPr>
        <w:jc w:val="center"/>
        <w:rPr>
          <w:color w:val="222A35" w:themeColor="text2" w:themeShade="80"/>
          <w:sz w:val="24"/>
          <w:szCs w:val="24"/>
        </w:rPr>
      </w:pPr>
    </w:p>
    <w:p w14:paraId="46211FBC" w14:textId="4113E5FE" w:rsidR="0007563D" w:rsidRPr="0007563D" w:rsidRDefault="0007563D" w:rsidP="00E9552E">
      <w:pPr>
        <w:pBdr>
          <w:top w:val="single" w:sz="4" w:space="1" w:color="auto"/>
          <w:left w:val="single" w:sz="4" w:space="4" w:color="auto"/>
          <w:bottom w:val="single" w:sz="4" w:space="1" w:color="auto"/>
          <w:right w:val="single" w:sz="4" w:space="4" w:color="auto"/>
        </w:pBdr>
        <w:jc w:val="both"/>
        <w:rPr>
          <w:b/>
          <w:bCs/>
          <w:color w:val="222A35" w:themeColor="text2" w:themeShade="80"/>
          <w:sz w:val="24"/>
          <w:szCs w:val="24"/>
        </w:rPr>
      </w:pPr>
      <w:r w:rsidRPr="0007563D">
        <w:rPr>
          <w:b/>
          <w:bCs/>
          <w:color w:val="222A35" w:themeColor="text2" w:themeShade="80"/>
          <w:sz w:val="24"/>
          <w:szCs w:val="24"/>
        </w:rPr>
        <w:t xml:space="preserve">Rappel des modalités pratiques : </w:t>
      </w:r>
    </w:p>
    <w:p w14:paraId="1578B25B" w14:textId="10765C2E" w:rsidR="0007563D" w:rsidRPr="0007563D" w:rsidRDefault="0007563D" w:rsidP="00E9552E">
      <w:pPr>
        <w:pBdr>
          <w:top w:val="single" w:sz="4" w:space="1" w:color="auto"/>
          <w:left w:val="single" w:sz="4" w:space="4" w:color="auto"/>
          <w:bottom w:val="single" w:sz="4" w:space="1" w:color="auto"/>
          <w:right w:val="single" w:sz="4" w:space="4" w:color="auto"/>
        </w:pBdr>
        <w:jc w:val="both"/>
        <w:rPr>
          <w:color w:val="222A35" w:themeColor="text2" w:themeShade="80"/>
          <w:sz w:val="24"/>
          <w:szCs w:val="24"/>
        </w:rPr>
      </w:pPr>
      <w:r w:rsidRPr="0007563D">
        <w:rPr>
          <w:color w:val="222A35" w:themeColor="text2" w:themeShade="80"/>
          <w:sz w:val="24"/>
          <w:szCs w:val="24"/>
        </w:rPr>
        <w:t xml:space="preserve">Les candidatures : CV, lettre de motivation et test écrit ci-joint, doivent être envoyées uniquement par </w:t>
      </w:r>
      <w:r>
        <w:rPr>
          <w:color w:val="222A35" w:themeColor="text2" w:themeShade="80"/>
          <w:sz w:val="24"/>
          <w:szCs w:val="24"/>
        </w:rPr>
        <w:t xml:space="preserve">mail </w:t>
      </w:r>
      <w:r w:rsidRPr="0007563D">
        <w:rPr>
          <w:b/>
          <w:bCs/>
          <w:color w:val="222A35" w:themeColor="text2" w:themeShade="80"/>
          <w:sz w:val="24"/>
          <w:szCs w:val="24"/>
        </w:rPr>
        <w:t>pour le 15 juin 2024, 12h au plus tard</w:t>
      </w:r>
      <w:r w:rsidRPr="0007563D">
        <w:rPr>
          <w:color w:val="222A35" w:themeColor="text2" w:themeShade="80"/>
          <w:sz w:val="24"/>
          <w:szCs w:val="24"/>
        </w:rPr>
        <w:t xml:space="preserve"> </w:t>
      </w:r>
      <w:r>
        <w:rPr>
          <w:color w:val="222A35" w:themeColor="text2" w:themeShade="80"/>
          <w:sz w:val="24"/>
          <w:szCs w:val="24"/>
        </w:rPr>
        <w:t xml:space="preserve">à l’adresse mail suivante </w:t>
      </w:r>
      <w:r w:rsidRPr="0007563D">
        <w:rPr>
          <w:color w:val="222A35" w:themeColor="text2" w:themeShade="80"/>
          <w:sz w:val="24"/>
          <w:szCs w:val="24"/>
        </w:rPr>
        <w:t xml:space="preserve">: </w:t>
      </w:r>
      <w:hyperlink r:id="rId8" w:history="1">
        <w:r w:rsidRPr="00326A47">
          <w:rPr>
            <w:rStyle w:val="Lienhypertexte"/>
            <w:color w:val="023160" w:themeColor="hyperlink" w:themeShade="80"/>
            <w:sz w:val="24"/>
            <w:szCs w:val="24"/>
          </w:rPr>
          <w:t>thida.sewin@lire-et-ecrire.b</w:t>
        </w:r>
        <w:r w:rsidRPr="00326A47">
          <w:rPr>
            <w:rStyle w:val="Lienhypertexte"/>
            <w:color w:val="023160" w:themeColor="hyperlink" w:themeShade="80"/>
            <w:sz w:val="24"/>
            <w:szCs w:val="24"/>
          </w:rPr>
          <w:t>e</w:t>
        </w:r>
      </w:hyperlink>
      <w:r>
        <w:rPr>
          <w:color w:val="222A35" w:themeColor="text2" w:themeShade="80"/>
          <w:sz w:val="24"/>
          <w:szCs w:val="24"/>
        </w:rPr>
        <w:t xml:space="preserve"> </w:t>
      </w:r>
    </w:p>
    <w:p w14:paraId="525F04F4" w14:textId="2BD681F3" w:rsidR="0007563D" w:rsidRPr="0007563D" w:rsidRDefault="0007563D" w:rsidP="00E9552E">
      <w:pPr>
        <w:pBdr>
          <w:top w:val="single" w:sz="4" w:space="1" w:color="auto"/>
          <w:left w:val="single" w:sz="4" w:space="4" w:color="auto"/>
          <w:bottom w:val="single" w:sz="4" w:space="1" w:color="auto"/>
          <w:right w:val="single" w:sz="4" w:space="4" w:color="auto"/>
        </w:pBdr>
        <w:jc w:val="both"/>
        <w:rPr>
          <w:color w:val="222A35" w:themeColor="text2" w:themeShade="80"/>
          <w:sz w:val="24"/>
          <w:szCs w:val="24"/>
        </w:rPr>
      </w:pPr>
      <w:r w:rsidRPr="0007563D">
        <w:rPr>
          <w:color w:val="222A35" w:themeColor="text2" w:themeShade="80"/>
          <w:sz w:val="24"/>
          <w:szCs w:val="24"/>
        </w:rPr>
        <w:t>Pour toute question, vous pouvez contacte</w:t>
      </w:r>
      <w:r>
        <w:rPr>
          <w:color w:val="222A35" w:themeColor="text2" w:themeShade="80"/>
          <w:sz w:val="24"/>
          <w:szCs w:val="24"/>
        </w:rPr>
        <w:t>r</w:t>
      </w:r>
      <w:r w:rsidRPr="0007563D">
        <w:rPr>
          <w:color w:val="222A35" w:themeColor="text2" w:themeShade="80"/>
          <w:sz w:val="24"/>
          <w:szCs w:val="24"/>
        </w:rPr>
        <w:t xml:space="preserve"> la coordinatrice pédagogique, Thida SEWIN, au 0472/91 90 10.</w:t>
      </w:r>
    </w:p>
    <w:p w14:paraId="49F4C23D" w14:textId="77777777" w:rsidR="0007563D" w:rsidRPr="0007563D" w:rsidRDefault="0007563D" w:rsidP="00E9552E">
      <w:pPr>
        <w:pBdr>
          <w:top w:val="single" w:sz="4" w:space="1" w:color="auto"/>
          <w:left w:val="single" w:sz="4" w:space="4" w:color="auto"/>
          <w:bottom w:val="single" w:sz="4" w:space="1" w:color="auto"/>
          <w:right w:val="single" w:sz="4" w:space="4" w:color="auto"/>
        </w:pBdr>
        <w:jc w:val="both"/>
        <w:rPr>
          <w:color w:val="222A35" w:themeColor="text2" w:themeShade="80"/>
          <w:sz w:val="24"/>
          <w:szCs w:val="24"/>
        </w:rPr>
      </w:pPr>
      <w:r w:rsidRPr="0007563D">
        <w:rPr>
          <w:color w:val="222A35" w:themeColor="text2" w:themeShade="80"/>
          <w:sz w:val="24"/>
          <w:szCs w:val="24"/>
        </w:rPr>
        <w:t>Une première sélection sera réalisée sur base des candidatures complètes reçues (CV, lettre de motivation, épreuve écrite).</w:t>
      </w:r>
      <w:r w:rsidRPr="0007563D">
        <w:rPr>
          <w:color w:val="222A35" w:themeColor="text2" w:themeShade="80"/>
          <w:sz w:val="24"/>
          <w:szCs w:val="24"/>
        </w:rPr>
        <w:tab/>
      </w:r>
    </w:p>
    <w:p w14:paraId="4DCC8051" w14:textId="0F1CF294" w:rsidR="0007563D" w:rsidRDefault="0007563D" w:rsidP="00E9552E">
      <w:pPr>
        <w:pBdr>
          <w:top w:val="single" w:sz="4" w:space="1" w:color="auto"/>
          <w:left w:val="single" w:sz="4" w:space="4" w:color="auto"/>
          <w:bottom w:val="single" w:sz="4" w:space="1" w:color="auto"/>
          <w:right w:val="single" w:sz="4" w:space="4" w:color="auto"/>
        </w:pBdr>
        <w:spacing w:after="0"/>
        <w:jc w:val="both"/>
        <w:rPr>
          <w:b/>
          <w:bCs/>
          <w:color w:val="222A35" w:themeColor="text2" w:themeShade="80"/>
          <w:sz w:val="24"/>
          <w:szCs w:val="24"/>
        </w:rPr>
      </w:pPr>
      <w:r w:rsidRPr="0007563D">
        <w:rPr>
          <w:color w:val="222A35" w:themeColor="text2" w:themeShade="80"/>
          <w:sz w:val="24"/>
          <w:szCs w:val="24"/>
        </w:rPr>
        <w:t xml:space="preserve">Les candidat.es retenu.es seront contacté.es par </w:t>
      </w:r>
      <w:r w:rsidR="00E9552E">
        <w:rPr>
          <w:color w:val="222A35" w:themeColor="text2" w:themeShade="80"/>
          <w:sz w:val="24"/>
          <w:szCs w:val="24"/>
        </w:rPr>
        <w:t xml:space="preserve">mail </w:t>
      </w:r>
      <w:r w:rsidRPr="00E9552E">
        <w:rPr>
          <w:b/>
          <w:bCs/>
          <w:color w:val="222A35" w:themeColor="text2" w:themeShade="80"/>
          <w:sz w:val="24"/>
          <w:szCs w:val="24"/>
        </w:rPr>
        <w:t>le 19 juin 2024</w:t>
      </w:r>
      <w:r w:rsidRPr="0007563D">
        <w:rPr>
          <w:color w:val="222A35" w:themeColor="text2" w:themeShade="80"/>
          <w:sz w:val="24"/>
          <w:szCs w:val="24"/>
        </w:rPr>
        <w:t xml:space="preserve"> afin de leur fixer un rendez-vous pour un entretien d’embauche le </w:t>
      </w:r>
      <w:r w:rsidRPr="00E9552E">
        <w:rPr>
          <w:b/>
          <w:bCs/>
          <w:color w:val="222A35" w:themeColor="text2" w:themeShade="80"/>
          <w:sz w:val="24"/>
          <w:szCs w:val="24"/>
        </w:rPr>
        <w:t>26 juin 2024.</w:t>
      </w:r>
    </w:p>
    <w:p w14:paraId="34990E22" w14:textId="77777777" w:rsidR="00E9552E" w:rsidRPr="0007563D" w:rsidRDefault="00E9552E" w:rsidP="00E9552E">
      <w:pPr>
        <w:pBdr>
          <w:top w:val="single" w:sz="4" w:space="1" w:color="auto"/>
          <w:left w:val="single" w:sz="4" w:space="4" w:color="auto"/>
          <w:bottom w:val="single" w:sz="4" w:space="1" w:color="auto"/>
          <w:right w:val="single" w:sz="4" w:space="4" w:color="auto"/>
        </w:pBdr>
        <w:jc w:val="both"/>
        <w:rPr>
          <w:color w:val="222A35" w:themeColor="text2" w:themeShade="80"/>
          <w:sz w:val="24"/>
          <w:szCs w:val="24"/>
        </w:rPr>
      </w:pPr>
    </w:p>
    <w:p w14:paraId="39637B51" w14:textId="77777777" w:rsidR="0007563D" w:rsidRPr="0007563D" w:rsidRDefault="0007563D" w:rsidP="00E9552E">
      <w:pPr>
        <w:jc w:val="both"/>
        <w:rPr>
          <w:color w:val="222A35" w:themeColor="text2" w:themeShade="80"/>
          <w:sz w:val="24"/>
          <w:szCs w:val="24"/>
        </w:rPr>
      </w:pPr>
    </w:p>
    <w:p w14:paraId="311860E5" w14:textId="709703A8" w:rsidR="0007563D" w:rsidRDefault="0007563D" w:rsidP="00E9552E">
      <w:pPr>
        <w:jc w:val="both"/>
        <w:rPr>
          <w:color w:val="222A35" w:themeColor="text2" w:themeShade="80"/>
          <w:sz w:val="24"/>
          <w:szCs w:val="24"/>
        </w:rPr>
      </w:pPr>
      <w:r w:rsidRPr="0007563D">
        <w:rPr>
          <w:color w:val="222A35" w:themeColor="text2" w:themeShade="80"/>
          <w:sz w:val="24"/>
          <w:szCs w:val="24"/>
        </w:rPr>
        <w:t xml:space="preserve">Vous êtes </w:t>
      </w:r>
      <w:proofErr w:type="spellStart"/>
      <w:r w:rsidRPr="0007563D">
        <w:rPr>
          <w:color w:val="222A35" w:themeColor="text2" w:themeShade="80"/>
          <w:sz w:val="24"/>
          <w:szCs w:val="24"/>
        </w:rPr>
        <w:t>invité</w:t>
      </w:r>
      <w:r w:rsidR="00E9552E">
        <w:rPr>
          <w:color w:val="222A35" w:themeColor="text2" w:themeShade="80"/>
          <w:sz w:val="24"/>
          <w:szCs w:val="24"/>
        </w:rPr>
        <w:t>.</w:t>
      </w:r>
      <w:r w:rsidRPr="0007563D">
        <w:rPr>
          <w:color w:val="222A35" w:themeColor="text2" w:themeShade="80"/>
          <w:sz w:val="24"/>
          <w:szCs w:val="24"/>
        </w:rPr>
        <w:t>e</w:t>
      </w:r>
      <w:proofErr w:type="spellEnd"/>
      <w:r w:rsidRPr="0007563D">
        <w:rPr>
          <w:color w:val="222A35" w:themeColor="text2" w:themeShade="80"/>
          <w:sz w:val="24"/>
          <w:szCs w:val="24"/>
        </w:rPr>
        <w:t xml:space="preserve"> à répondre aux questions suivantes de manière concise et personnelle.</w:t>
      </w:r>
    </w:p>
    <w:p w14:paraId="7BA7280A" w14:textId="77777777" w:rsidR="00E9552E" w:rsidRPr="00E9552E" w:rsidRDefault="00E9552E" w:rsidP="00E9552E">
      <w:pPr>
        <w:jc w:val="both"/>
        <w:rPr>
          <w:color w:val="222A35" w:themeColor="text2" w:themeShade="80"/>
          <w:sz w:val="24"/>
          <w:szCs w:val="24"/>
        </w:rPr>
      </w:pPr>
    </w:p>
    <w:p w14:paraId="0D8C3F08" w14:textId="77777777" w:rsidR="00E9552E" w:rsidRPr="00E9552E" w:rsidRDefault="00E9552E" w:rsidP="00E9552E">
      <w:pPr>
        <w:pStyle w:val="Paragraphedeliste"/>
        <w:numPr>
          <w:ilvl w:val="0"/>
          <w:numId w:val="2"/>
        </w:numPr>
        <w:spacing w:after="0" w:line="276" w:lineRule="auto"/>
        <w:jc w:val="both"/>
        <w:rPr>
          <w:color w:val="222A35" w:themeColor="text2" w:themeShade="80"/>
          <w:sz w:val="24"/>
          <w:szCs w:val="24"/>
        </w:rPr>
      </w:pPr>
      <w:r w:rsidRPr="00E9552E">
        <w:rPr>
          <w:color w:val="222A35" w:themeColor="text2" w:themeShade="80"/>
          <w:sz w:val="24"/>
          <w:szCs w:val="24"/>
        </w:rPr>
        <w:t>Lire et Ecrire est un mouvement d’éducation permanente et un organisme d’insertion socio- professionnelle. Dans ce cadre spécifique, comment voyez-vous :</w:t>
      </w:r>
    </w:p>
    <w:p w14:paraId="585ADA9D" w14:textId="0F6D3B43" w:rsidR="00E9552E" w:rsidRPr="00E9552E" w:rsidRDefault="00E9552E" w:rsidP="00E9552E">
      <w:pPr>
        <w:pStyle w:val="Paragraphedeliste"/>
        <w:numPr>
          <w:ilvl w:val="0"/>
          <w:numId w:val="3"/>
        </w:numPr>
        <w:spacing w:after="0" w:line="276" w:lineRule="auto"/>
        <w:jc w:val="both"/>
        <w:rPr>
          <w:color w:val="222A35" w:themeColor="text2" w:themeShade="80"/>
          <w:sz w:val="24"/>
          <w:szCs w:val="24"/>
        </w:rPr>
      </w:pPr>
      <w:r w:rsidRPr="00E9552E">
        <w:rPr>
          <w:color w:val="222A35" w:themeColor="text2" w:themeShade="80"/>
          <w:sz w:val="24"/>
          <w:szCs w:val="24"/>
        </w:rPr>
        <w:t>Les rôles principaux du-de la formateur</w:t>
      </w:r>
      <w:r w:rsidRPr="00E9552E">
        <w:rPr>
          <w:color w:val="222A35" w:themeColor="text2" w:themeShade="80"/>
          <w:sz w:val="24"/>
          <w:szCs w:val="24"/>
        </w:rPr>
        <w:t>.</w:t>
      </w:r>
      <w:r w:rsidRPr="00E9552E">
        <w:rPr>
          <w:color w:val="222A35" w:themeColor="text2" w:themeShade="80"/>
          <w:sz w:val="24"/>
          <w:szCs w:val="24"/>
        </w:rPr>
        <w:t xml:space="preserve">rice ?  </w:t>
      </w:r>
    </w:p>
    <w:p w14:paraId="3081A888" w14:textId="77777777" w:rsidR="00E9552E" w:rsidRPr="00E9552E" w:rsidRDefault="00E9552E" w:rsidP="00E9552E">
      <w:pPr>
        <w:pStyle w:val="Paragraphedeliste"/>
        <w:numPr>
          <w:ilvl w:val="0"/>
          <w:numId w:val="3"/>
        </w:numPr>
        <w:spacing w:after="0" w:line="276" w:lineRule="auto"/>
        <w:jc w:val="both"/>
        <w:rPr>
          <w:color w:val="222A35" w:themeColor="text2" w:themeShade="80"/>
          <w:sz w:val="24"/>
          <w:szCs w:val="24"/>
        </w:rPr>
      </w:pPr>
      <w:r w:rsidRPr="00E9552E">
        <w:rPr>
          <w:color w:val="222A35" w:themeColor="text2" w:themeShade="80"/>
          <w:sz w:val="24"/>
          <w:szCs w:val="24"/>
        </w:rPr>
        <w:t>Les tâches principales ?</w:t>
      </w:r>
    </w:p>
    <w:p w14:paraId="46A499EF" w14:textId="77777777" w:rsidR="00E9552E" w:rsidRPr="00E9552E" w:rsidRDefault="00E9552E" w:rsidP="00E9552E">
      <w:pPr>
        <w:pStyle w:val="Paragraphedeliste"/>
        <w:numPr>
          <w:ilvl w:val="0"/>
          <w:numId w:val="3"/>
        </w:numPr>
        <w:spacing w:after="0" w:line="276" w:lineRule="auto"/>
        <w:jc w:val="both"/>
        <w:rPr>
          <w:color w:val="222A35" w:themeColor="text2" w:themeShade="80"/>
          <w:sz w:val="24"/>
          <w:szCs w:val="24"/>
        </w:rPr>
      </w:pPr>
      <w:r w:rsidRPr="00E9552E">
        <w:rPr>
          <w:color w:val="222A35" w:themeColor="text2" w:themeShade="80"/>
          <w:sz w:val="24"/>
          <w:szCs w:val="24"/>
        </w:rPr>
        <w:t>La posture ?</w:t>
      </w:r>
    </w:p>
    <w:p w14:paraId="6EA3DC61" w14:textId="142ABD15" w:rsidR="00E9552E" w:rsidRDefault="00E9552E" w:rsidP="00E9552E">
      <w:pPr>
        <w:pStyle w:val="Paragraphedeliste"/>
        <w:numPr>
          <w:ilvl w:val="0"/>
          <w:numId w:val="3"/>
        </w:numPr>
        <w:spacing w:after="0" w:line="276" w:lineRule="auto"/>
        <w:jc w:val="both"/>
        <w:rPr>
          <w:color w:val="222A35" w:themeColor="text2" w:themeShade="80"/>
          <w:sz w:val="24"/>
          <w:szCs w:val="24"/>
        </w:rPr>
      </w:pPr>
      <w:r w:rsidRPr="00E9552E">
        <w:rPr>
          <w:color w:val="222A35" w:themeColor="text2" w:themeShade="80"/>
          <w:sz w:val="24"/>
          <w:szCs w:val="24"/>
        </w:rPr>
        <w:t>Et le travail de coopération avec l’équipe pédagogique ainsi que les autres pôles et services ?</w:t>
      </w:r>
    </w:p>
    <w:p w14:paraId="55A92C4E" w14:textId="77777777" w:rsidR="00E9552E" w:rsidRDefault="00E9552E" w:rsidP="00E9552E">
      <w:pPr>
        <w:spacing w:after="0" w:line="276" w:lineRule="auto"/>
        <w:jc w:val="both"/>
        <w:rPr>
          <w:color w:val="222A35" w:themeColor="text2" w:themeShade="80"/>
          <w:sz w:val="24"/>
          <w:szCs w:val="24"/>
        </w:rPr>
      </w:pPr>
    </w:p>
    <w:p w14:paraId="557457FA" w14:textId="77777777" w:rsidR="00E9552E" w:rsidRPr="00E9552E" w:rsidRDefault="00E9552E" w:rsidP="00E9552E">
      <w:pPr>
        <w:pStyle w:val="Paragraphedeliste"/>
        <w:numPr>
          <w:ilvl w:val="0"/>
          <w:numId w:val="2"/>
        </w:numPr>
        <w:spacing w:after="0" w:line="276" w:lineRule="auto"/>
        <w:jc w:val="both"/>
        <w:rPr>
          <w:color w:val="222A35" w:themeColor="text2" w:themeShade="80"/>
          <w:sz w:val="24"/>
          <w:szCs w:val="24"/>
        </w:rPr>
      </w:pPr>
      <w:r w:rsidRPr="00E9552E">
        <w:rPr>
          <w:color w:val="222A35" w:themeColor="text2" w:themeShade="80"/>
          <w:sz w:val="24"/>
          <w:szCs w:val="24"/>
        </w:rPr>
        <w:t>Développez un avis argumenté sur ce que sont pour vous, aujourd’hui, en Fédération- Wallonie-Bruxelles</w:t>
      </w:r>
    </w:p>
    <w:p w14:paraId="6021C21D" w14:textId="77777777" w:rsidR="00E9552E" w:rsidRDefault="00E9552E" w:rsidP="00E9552E">
      <w:pPr>
        <w:pStyle w:val="Paragraphedeliste"/>
        <w:numPr>
          <w:ilvl w:val="0"/>
          <w:numId w:val="4"/>
        </w:numPr>
        <w:spacing w:after="0" w:line="276" w:lineRule="auto"/>
        <w:jc w:val="both"/>
        <w:rPr>
          <w:color w:val="222A35" w:themeColor="text2" w:themeShade="80"/>
          <w:sz w:val="24"/>
          <w:szCs w:val="24"/>
        </w:rPr>
      </w:pPr>
      <w:r>
        <w:rPr>
          <w:color w:val="222A35" w:themeColor="text2" w:themeShade="80"/>
          <w:sz w:val="24"/>
          <w:szCs w:val="24"/>
        </w:rPr>
        <w:t>L</w:t>
      </w:r>
      <w:r w:rsidRPr="00E9552E">
        <w:rPr>
          <w:color w:val="222A35" w:themeColor="text2" w:themeShade="80"/>
          <w:sz w:val="24"/>
          <w:szCs w:val="24"/>
        </w:rPr>
        <w:t xml:space="preserve">es causes de l’analphabétisme/illettrisme </w:t>
      </w:r>
    </w:p>
    <w:p w14:paraId="59174D1E" w14:textId="252DD1C5" w:rsidR="00E9552E" w:rsidRPr="00E9552E" w:rsidRDefault="00E9552E" w:rsidP="00E9552E">
      <w:pPr>
        <w:pStyle w:val="Paragraphedeliste"/>
        <w:numPr>
          <w:ilvl w:val="0"/>
          <w:numId w:val="4"/>
        </w:numPr>
        <w:spacing w:after="0" w:line="276" w:lineRule="auto"/>
        <w:jc w:val="both"/>
        <w:rPr>
          <w:color w:val="222A35" w:themeColor="text2" w:themeShade="80"/>
          <w:sz w:val="24"/>
          <w:szCs w:val="24"/>
        </w:rPr>
      </w:pPr>
      <w:r>
        <w:rPr>
          <w:color w:val="222A35" w:themeColor="text2" w:themeShade="80"/>
          <w:sz w:val="24"/>
          <w:szCs w:val="24"/>
        </w:rPr>
        <w:t>L</w:t>
      </w:r>
      <w:r w:rsidRPr="00E9552E">
        <w:rPr>
          <w:color w:val="222A35" w:themeColor="text2" w:themeShade="80"/>
          <w:sz w:val="24"/>
          <w:szCs w:val="24"/>
        </w:rPr>
        <w:t xml:space="preserve">es enjeux de l’alphabétisation des adultes   </w:t>
      </w:r>
    </w:p>
    <w:p w14:paraId="3C6CD8DD" w14:textId="470969CF" w:rsidR="00E9552E" w:rsidRDefault="00E9552E" w:rsidP="00E9552E">
      <w:pPr>
        <w:spacing w:after="0" w:line="276" w:lineRule="auto"/>
        <w:jc w:val="both"/>
        <w:rPr>
          <w:color w:val="222A35" w:themeColor="text2" w:themeShade="80"/>
          <w:sz w:val="24"/>
          <w:szCs w:val="24"/>
        </w:rPr>
      </w:pPr>
    </w:p>
    <w:p w14:paraId="62BE5E90" w14:textId="3044D3A0" w:rsidR="00E9552E" w:rsidRPr="00E9552E" w:rsidRDefault="00E9552E" w:rsidP="00E9552E">
      <w:pPr>
        <w:pStyle w:val="Paragraphedeliste"/>
        <w:numPr>
          <w:ilvl w:val="0"/>
          <w:numId w:val="2"/>
        </w:numPr>
        <w:jc w:val="both"/>
        <w:rPr>
          <w:color w:val="222A35" w:themeColor="text2" w:themeShade="80"/>
          <w:sz w:val="24"/>
          <w:szCs w:val="24"/>
        </w:rPr>
      </w:pPr>
      <w:r w:rsidRPr="00E9552E">
        <w:rPr>
          <w:color w:val="222A35" w:themeColor="text2" w:themeShade="80"/>
          <w:sz w:val="24"/>
          <w:szCs w:val="24"/>
        </w:rPr>
        <w:t>Dans le cadre des formations avec un public adulte maitrisant peu la lecture, l’écriture, le calcul, vous devrez renforcer les savoirs de base (langage oral, langage écrit, calcul). Dans ce contexte, quel processus méthodologique proposez-vous ? Donnez les grandes lignes de ce processus et expliquez en quoi il est pertinent. Listez des outils, méthodes, supports, …. Que vous vous proposeriez d’utiliser pour l’apprentissage</w:t>
      </w:r>
      <w:r>
        <w:rPr>
          <w:color w:val="222A35" w:themeColor="text2" w:themeShade="80"/>
          <w:sz w:val="24"/>
          <w:szCs w:val="24"/>
        </w:rPr>
        <w:t> ?</w:t>
      </w:r>
    </w:p>
    <w:p w14:paraId="6CE398B2" w14:textId="699D5A3B" w:rsidR="00E9552E" w:rsidRDefault="00E9552E" w:rsidP="00E9552E">
      <w:pPr>
        <w:spacing w:after="0" w:line="276" w:lineRule="auto"/>
        <w:rPr>
          <w:color w:val="222A35" w:themeColor="text2" w:themeShade="80"/>
          <w:sz w:val="24"/>
          <w:szCs w:val="24"/>
        </w:rPr>
      </w:pPr>
    </w:p>
    <w:p w14:paraId="589681FB" w14:textId="3EB12AAB" w:rsidR="00E9552E" w:rsidRPr="00E9552E" w:rsidRDefault="00E9552E" w:rsidP="00E9552E">
      <w:pPr>
        <w:spacing w:after="0" w:line="276" w:lineRule="auto"/>
        <w:rPr>
          <w:color w:val="222A35" w:themeColor="text2" w:themeShade="80"/>
          <w:sz w:val="24"/>
          <w:szCs w:val="24"/>
        </w:rPr>
      </w:pPr>
      <w:r>
        <w:rPr>
          <w:color w:val="222A35" w:themeColor="text2" w:themeShade="80"/>
          <w:sz w:val="24"/>
          <w:szCs w:val="24"/>
        </w:rPr>
        <w:t>Merci.</w:t>
      </w:r>
    </w:p>
    <w:p w14:paraId="6F025A1B" w14:textId="77777777" w:rsidR="0007563D" w:rsidRPr="0007563D" w:rsidRDefault="0007563D">
      <w:pPr>
        <w:rPr>
          <w:color w:val="222A35" w:themeColor="text2" w:themeShade="80"/>
          <w:sz w:val="24"/>
          <w:szCs w:val="24"/>
        </w:rPr>
      </w:pPr>
    </w:p>
    <w:sectPr w:rsidR="0007563D" w:rsidRPr="0007563D" w:rsidSect="00E9552E">
      <w:headerReference w:type="default" r:id="rId9"/>
      <w:pgSz w:w="11906" w:h="16838"/>
      <w:pgMar w:top="1417" w:right="1417" w:bottom="568"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3E75" w14:textId="77777777" w:rsidR="00E404F3" w:rsidRDefault="00E404F3" w:rsidP="0007563D">
      <w:pPr>
        <w:spacing w:after="0" w:line="240" w:lineRule="auto"/>
      </w:pPr>
      <w:r>
        <w:separator/>
      </w:r>
    </w:p>
  </w:endnote>
  <w:endnote w:type="continuationSeparator" w:id="0">
    <w:p w14:paraId="778FC2F8" w14:textId="77777777" w:rsidR="00E404F3" w:rsidRDefault="00E404F3" w:rsidP="0007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E68E3" w14:textId="77777777" w:rsidR="00E404F3" w:rsidRDefault="00E404F3" w:rsidP="0007563D">
      <w:pPr>
        <w:spacing w:after="0" w:line="240" w:lineRule="auto"/>
      </w:pPr>
      <w:r>
        <w:separator/>
      </w:r>
    </w:p>
  </w:footnote>
  <w:footnote w:type="continuationSeparator" w:id="0">
    <w:p w14:paraId="28392B1D" w14:textId="77777777" w:rsidR="00E404F3" w:rsidRDefault="00E404F3" w:rsidP="0007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502B" w14:textId="3AF44329" w:rsidR="0007563D" w:rsidRDefault="0007563D" w:rsidP="0007563D">
    <w:pPr>
      <w:pStyle w:val="En-tte"/>
      <w:ind w:hanging="1134"/>
    </w:pPr>
    <w:r>
      <w:rPr>
        <w:noProof/>
      </w:rPr>
      <w:drawing>
        <wp:inline distT="0" distB="0" distL="0" distR="0" wp14:anchorId="47C1525D" wp14:editId="5DCECC16">
          <wp:extent cx="695325" cy="839418"/>
          <wp:effectExtent l="0" t="0" r="0" b="0"/>
          <wp:docPr id="19880203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74513" name="Image 1517074513"/>
                  <pic:cNvPicPr/>
                </pic:nvPicPr>
                <pic:blipFill>
                  <a:blip r:embed="rId1">
                    <a:extLst>
                      <a:ext uri="{28A0092B-C50C-407E-A947-70E740481C1C}">
                        <a14:useLocalDpi xmlns:a14="http://schemas.microsoft.com/office/drawing/2010/main" val="0"/>
                      </a:ext>
                    </a:extLst>
                  </a:blip>
                  <a:stretch>
                    <a:fillRect/>
                  </a:stretch>
                </pic:blipFill>
                <pic:spPr>
                  <a:xfrm>
                    <a:off x="0" y="0"/>
                    <a:ext cx="699190" cy="844084"/>
                  </a:xfrm>
                  <a:prstGeom prst="rect">
                    <a:avLst/>
                  </a:prstGeom>
                </pic:spPr>
              </pic:pic>
            </a:graphicData>
          </a:graphic>
        </wp:inline>
      </w:drawing>
    </w:r>
  </w:p>
  <w:p w14:paraId="77733497" w14:textId="77777777" w:rsidR="0007563D" w:rsidRDefault="0007563D" w:rsidP="0007563D">
    <w:pPr>
      <w:pStyle w:val="En-tt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142BC"/>
    <w:multiLevelType w:val="hybridMultilevel"/>
    <w:tmpl w:val="EBE2DF1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51E03FDC"/>
    <w:multiLevelType w:val="hybridMultilevel"/>
    <w:tmpl w:val="2B2CC3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C419E4"/>
    <w:multiLevelType w:val="hybridMultilevel"/>
    <w:tmpl w:val="2B26BA94"/>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2AE075C"/>
    <w:multiLevelType w:val="hybridMultilevel"/>
    <w:tmpl w:val="D7CC5F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56170256">
    <w:abstractNumId w:val="3"/>
  </w:num>
  <w:num w:numId="2" w16cid:durableId="1918317631">
    <w:abstractNumId w:val="2"/>
  </w:num>
  <w:num w:numId="3" w16cid:durableId="1855024380">
    <w:abstractNumId w:val="1"/>
  </w:num>
  <w:num w:numId="4" w16cid:durableId="90421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3D"/>
    <w:rsid w:val="000470EE"/>
    <w:rsid w:val="0007563D"/>
    <w:rsid w:val="008B784B"/>
    <w:rsid w:val="00DB67BE"/>
    <w:rsid w:val="00E404F3"/>
    <w:rsid w:val="00E955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C453"/>
  <w15:chartTrackingRefBased/>
  <w15:docId w15:val="{00C193D5-CCFE-4B78-A602-810E3AE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563D"/>
    <w:rPr>
      <w:color w:val="0563C1" w:themeColor="hyperlink"/>
      <w:u w:val="single"/>
    </w:rPr>
  </w:style>
  <w:style w:type="character" w:styleId="Mentionnonrsolue">
    <w:name w:val="Unresolved Mention"/>
    <w:basedOn w:val="Policepardfaut"/>
    <w:uiPriority w:val="99"/>
    <w:semiHidden/>
    <w:unhideWhenUsed/>
    <w:rsid w:val="0007563D"/>
    <w:rPr>
      <w:color w:val="605E5C"/>
      <w:shd w:val="clear" w:color="auto" w:fill="E1DFDD"/>
    </w:rPr>
  </w:style>
  <w:style w:type="paragraph" w:styleId="En-tte">
    <w:name w:val="header"/>
    <w:basedOn w:val="Normal"/>
    <w:link w:val="En-tteCar"/>
    <w:uiPriority w:val="99"/>
    <w:unhideWhenUsed/>
    <w:rsid w:val="0007563D"/>
    <w:pPr>
      <w:tabs>
        <w:tab w:val="center" w:pos="4536"/>
        <w:tab w:val="right" w:pos="9072"/>
      </w:tabs>
      <w:spacing w:after="0" w:line="240" w:lineRule="auto"/>
    </w:pPr>
  </w:style>
  <w:style w:type="character" w:customStyle="1" w:styleId="En-tteCar">
    <w:name w:val="En-tête Car"/>
    <w:basedOn w:val="Policepardfaut"/>
    <w:link w:val="En-tte"/>
    <w:uiPriority w:val="99"/>
    <w:rsid w:val="0007563D"/>
  </w:style>
  <w:style w:type="paragraph" w:styleId="Pieddepage">
    <w:name w:val="footer"/>
    <w:basedOn w:val="Normal"/>
    <w:link w:val="PieddepageCar"/>
    <w:uiPriority w:val="99"/>
    <w:unhideWhenUsed/>
    <w:rsid w:val="00075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63D"/>
  </w:style>
  <w:style w:type="paragraph" w:styleId="Paragraphedeliste">
    <w:name w:val="List Paragraph"/>
    <w:basedOn w:val="Normal"/>
    <w:uiPriority w:val="34"/>
    <w:qFormat/>
    <w:rsid w:val="00E95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da.sewin@lire-et-ecrire.be" TargetMode="External"/><Relationship Id="rId3" Type="http://schemas.openxmlformats.org/officeDocument/2006/relationships/settings" Target="settings.xml"/><Relationship Id="rId7" Type="http://schemas.openxmlformats.org/officeDocument/2006/relationships/hyperlink" Target="mailto:thida.sewin@lire-et-ecrir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Belguenani</dc:creator>
  <cp:keywords/>
  <dc:description/>
  <cp:lastModifiedBy>Yannis Belguenani</cp:lastModifiedBy>
  <cp:revision>1</cp:revision>
  <dcterms:created xsi:type="dcterms:W3CDTF">2024-05-29T13:36:00Z</dcterms:created>
  <dcterms:modified xsi:type="dcterms:W3CDTF">2024-05-29T14:10:00Z</dcterms:modified>
</cp:coreProperties>
</file>