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25" w:rsidRPr="003B543C" w:rsidRDefault="00043269">
      <w:pPr>
        <w:spacing w:after="0" w:line="240" w:lineRule="auto"/>
        <w:jc w:val="center"/>
        <w:rPr>
          <w:rFonts w:cstheme="minorHAnsi"/>
          <w:color w:val="948A54" w:themeColor="background2" w:themeShade="80"/>
          <w:sz w:val="32"/>
          <w:szCs w:val="32"/>
          <w:lang w:val="fr-FR"/>
        </w:rPr>
      </w:pPr>
      <w:r w:rsidRPr="003B543C">
        <w:rPr>
          <w:rFonts w:cstheme="minorHAnsi"/>
          <w:noProof/>
        </w:rPr>
        <w:drawing>
          <wp:inline distT="0" distB="0" distL="0" distR="0">
            <wp:extent cx="1323975" cy="5524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8"/>
                    <a:stretch>
                      <a:fillRect/>
                    </a:stretch>
                  </pic:blipFill>
                  <pic:spPr bwMode="auto">
                    <a:xfrm>
                      <a:off x="0" y="0"/>
                      <a:ext cx="1323975" cy="552450"/>
                    </a:xfrm>
                    <a:prstGeom prst="rect">
                      <a:avLst/>
                    </a:prstGeom>
                  </pic:spPr>
                </pic:pic>
              </a:graphicData>
            </a:graphic>
          </wp:inline>
        </w:drawing>
      </w:r>
    </w:p>
    <w:p w:rsidR="009A0A25" w:rsidRPr="003B543C" w:rsidRDefault="00043269" w:rsidP="00043269">
      <w:pPr>
        <w:spacing w:after="0" w:line="240" w:lineRule="auto"/>
        <w:jc w:val="center"/>
        <w:rPr>
          <w:rFonts w:cstheme="minorHAnsi"/>
          <w:color w:val="948A54" w:themeColor="background2" w:themeShade="80"/>
          <w:sz w:val="32"/>
          <w:szCs w:val="32"/>
          <w:lang w:val="fr-FR"/>
        </w:rPr>
      </w:pPr>
      <w:r w:rsidRPr="003B543C">
        <w:rPr>
          <w:rFonts w:cstheme="minorHAnsi"/>
          <w:color w:val="948A54" w:themeColor="background2" w:themeShade="80"/>
          <w:sz w:val="32"/>
          <w:szCs w:val="32"/>
          <w:lang w:val="fr-FR"/>
        </w:rPr>
        <w:t>Communiqué de presse</w:t>
      </w:r>
    </w:p>
    <w:p w:rsidR="001B7B94" w:rsidRPr="003B543C" w:rsidRDefault="001B7B94" w:rsidP="001B7B94">
      <w:pPr>
        <w:spacing w:after="0" w:line="240" w:lineRule="auto"/>
        <w:jc w:val="center"/>
        <w:rPr>
          <w:rFonts w:cstheme="minorHAnsi"/>
          <w:color w:val="948A54" w:themeColor="background2" w:themeShade="80"/>
          <w:sz w:val="36"/>
          <w:szCs w:val="36"/>
          <w:lang w:val="fr-FR"/>
        </w:rPr>
      </w:pPr>
    </w:p>
    <w:p w:rsidR="00CB6E2B" w:rsidRDefault="001B7B94" w:rsidP="001B7B94">
      <w:pPr>
        <w:spacing w:after="0" w:line="240" w:lineRule="auto"/>
        <w:jc w:val="center"/>
        <w:rPr>
          <w:rFonts w:cstheme="minorHAnsi"/>
          <w:b/>
        </w:rPr>
      </w:pPr>
      <w:r w:rsidRPr="001B7B94">
        <w:rPr>
          <w:rFonts w:eastAsia="Times New Roman" w:cstheme="minorHAnsi"/>
          <w:color w:val="000000"/>
          <w:sz w:val="28"/>
          <w:lang w:eastAsia="fr-BE"/>
        </w:rPr>
        <w:t xml:space="preserve">Campagne 2024 Lire et Écrire : </w:t>
      </w:r>
      <w:r w:rsidRPr="001B7B94">
        <w:rPr>
          <w:rFonts w:cstheme="minorHAnsi"/>
          <w:b/>
          <w:sz w:val="28"/>
        </w:rPr>
        <w:t>Votons pour une commune comme ça !</w:t>
      </w:r>
    </w:p>
    <w:p w:rsidR="001B7B94" w:rsidRDefault="001B7B94" w:rsidP="00A64DA9">
      <w:pPr>
        <w:spacing w:after="0" w:line="240" w:lineRule="auto"/>
        <w:rPr>
          <w:rFonts w:eastAsia="Times New Roman" w:cstheme="minorHAnsi"/>
          <w:color w:val="000000"/>
          <w:lang w:eastAsia="fr-BE"/>
        </w:rPr>
      </w:pPr>
    </w:p>
    <w:p w:rsidR="009A0A25" w:rsidRPr="003B543C" w:rsidRDefault="00043269">
      <w:pPr>
        <w:pStyle w:val="Default"/>
        <w:rPr>
          <w:rFonts w:asciiTheme="minorHAnsi" w:hAnsiTheme="minorHAnsi" w:cstheme="minorHAnsi"/>
          <w:sz w:val="22"/>
          <w:szCs w:val="22"/>
        </w:rPr>
      </w:pPr>
      <w:r w:rsidRPr="003B543C">
        <w:rPr>
          <w:rFonts w:asciiTheme="minorHAnsi" w:hAnsiTheme="minorHAnsi" w:cstheme="minorHAnsi"/>
          <w:sz w:val="22"/>
          <w:szCs w:val="22"/>
        </w:rPr>
        <w:lastRenderedPageBreak/>
        <w:t>Dans toutes les communes de Belgique vivent des personnes en difficulté de lecture et d’écriture. Souvent invisibilisées, elles peinent à s’y exprimer, à y avoir une place, y agir et à y faire valoir leurs droits.</w:t>
      </w:r>
    </w:p>
    <w:p w:rsidR="009A0A25" w:rsidRPr="003B543C" w:rsidRDefault="009A0A25">
      <w:pPr>
        <w:pStyle w:val="Default"/>
        <w:rPr>
          <w:rFonts w:asciiTheme="minorHAnsi" w:hAnsiTheme="minorHAnsi" w:cstheme="minorHAnsi"/>
          <w:sz w:val="22"/>
          <w:szCs w:val="22"/>
        </w:rPr>
      </w:pPr>
    </w:p>
    <w:p w:rsidR="009A0A25" w:rsidRPr="003B543C" w:rsidRDefault="00043269">
      <w:pPr>
        <w:pStyle w:val="Default"/>
        <w:rPr>
          <w:rFonts w:asciiTheme="minorHAnsi" w:hAnsiTheme="minorHAnsi" w:cstheme="minorHAnsi"/>
          <w:sz w:val="22"/>
          <w:szCs w:val="22"/>
        </w:rPr>
      </w:pPr>
      <w:r w:rsidRPr="003B543C">
        <w:rPr>
          <w:rFonts w:asciiTheme="minorHAnsi" w:hAnsiTheme="minorHAnsi" w:cstheme="minorHAnsi"/>
          <w:sz w:val="22"/>
          <w:szCs w:val="22"/>
        </w:rPr>
        <w:t>À l’occasion du 8 septembre, Journée internationale de l’alphabétis</w:t>
      </w:r>
      <w:bookmarkStart w:id="0" w:name="_GoBack"/>
      <w:bookmarkEnd w:id="0"/>
      <w:r w:rsidRPr="003B543C">
        <w:rPr>
          <w:rFonts w:asciiTheme="minorHAnsi" w:hAnsiTheme="minorHAnsi" w:cstheme="minorHAnsi"/>
          <w:sz w:val="22"/>
          <w:szCs w:val="22"/>
        </w:rPr>
        <w:t xml:space="preserve">ation, et à l’approche des élections du 13 octobre 2024, Lire et Écrire lance sa nouvelle campagne de sensibilisation : </w:t>
      </w:r>
      <w:r w:rsidRPr="003B543C">
        <w:rPr>
          <w:rFonts w:asciiTheme="minorHAnsi" w:hAnsiTheme="minorHAnsi" w:cstheme="minorHAnsi"/>
          <w:b/>
          <w:sz w:val="22"/>
          <w:szCs w:val="22"/>
        </w:rPr>
        <w:t xml:space="preserve">Votons pour une commune comme ça ! </w:t>
      </w:r>
      <w:r w:rsidRPr="003B543C">
        <w:rPr>
          <w:rFonts w:asciiTheme="minorHAnsi" w:hAnsiTheme="minorHAnsi" w:cstheme="minorHAnsi"/>
          <w:sz w:val="22"/>
          <w:szCs w:val="22"/>
        </w:rPr>
        <w:t xml:space="preserve">Elle vise à inciter les communes, qui sont au centre de ce scrutin, à mettre en place des mesures simples pour améliorer le quotidien des personnes analphabètes et favoriser leur participation à la vie sociale, culturelle et économique de leur cité et de leur province. Ces propositions permettent de réduire d’importantes inégalités et sont également le gage d’un meilleur développement local pour </w:t>
      </w:r>
      <w:proofErr w:type="spellStart"/>
      <w:r w:rsidRPr="003B543C">
        <w:rPr>
          <w:rFonts w:asciiTheme="minorHAnsi" w:hAnsiTheme="minorHAnsi" w:cstheme="minorHAnsi"/>
          <w:sz w:val="22"/>
          <w:szCs w:val="22"/>
        </w:rPr>
        <w:t>tous·tes</w:t>
      </w:r>
      <w:proofErr w:type="spellEnd"/>
      <w:r w:rsidRPr="003B543C">
        <w:rPr>
          <w:rFonts w:asciiTheme="minorHAnsi" w:hAnsiTheme="minorHAnsi" w:cstheme="minorHAnsi"/>
          <w:sz w:val="22"/>
          <w:szCs w:val="22"/>
        </w:rPr>
        <w:t>.</w:t>
      </w:r>
    </w:p>
    <w:p w:rsidR="009A0A25" w:rsidRPr="003B543C" w:rsidRDefault="009A0A25">
      <w:pPr>
        <w:pStyle w:val="Default"/>
        <w:rPr>
          <w:rFonts w:asciiTheme="minorHAnsi" w:hAnsiTheme="minorHAnsi" w:cstheme="minorHAnsi"/>
          <w:b/>
          <w:sz w:val="22"/>
          <w:szCs w:val="22"/>
        </w:rPr>
      </w:pPr>
    </w:p>
    <w:p w:rsidR="001B7B94" w:rsidRDefault="001B7B94">
      <w:pPr>
        <w:pStyle w:val="Default"/>
        <w:rPr>
          <w:rFonts w:asciiTheme="minorHAnsi" w:hAnsiTheme="minorHAnsi" w:cstheme="minorHAnsi"/>
          <w:b/>
          <w:sz w:val="22"/>
          <w:szCs w:val="22"/>
        </w:rPr>
      </w:pPr>
    </w:p>
    <w:p w:rsidR="009A0A25" w:rsidRPr="004B0846" w:rsidRDefault="00043269">
      <w:pPr>
        <w:pStyle w:val="Default"/>
        <w:rPr>
          <w:rFonts w:asciiTheme="minorHAnsi" w:hAnsiTheme="minorHAnsi" w:cstheme="minorHAnsi"/>
          <w:b/>
          <w:sz w:val="28"/>
          <w:szCs w:val="28"/>
        </w:rPr>
      </w:pPr>
      <w:r w:rsidRPr="004B0846">
        <w:rPr>
          <w:rFonts w:asciiTheme="minorHAnsi" w:hAnsiTheme="minorHAnsi" w:cstheme="minorHAnsi"/>
          <w:b/>
          <w:sz w:val="28"/>
          <w:szCs w:val="28"/>
        </w:rPr>
        <w:t>Que peuvent faire les communes ?</w:t>
      </w:r>
    </w:p>
    <w:p w:rsidR="009A0A25" w:rsidRPr="003B543C" w:rsidRDefault="009A0A25">
      <w:pPr>
        <w:pStyle w:val="Default"/>
        <w:rPr>
          <w:rFonts w:asciiTheme="minorHAnsi" w:hAnsiTheme="minorHAnsi" w:cstheme="minorHAnsi"/>
          <w:sz w:val="22"/>
          <w:szCs w:val="22"/>
        </w:rPr>
      </w:pPr>
    </w:p>
    <w:p w:rsidR="009A0A25" w:rsidRPr="003B543C" w:rsidRDefault="00043269">
      <w:pPr>
        <w:pStyle w:val="Default"/>
        <w:rPr>
          <w:rFonts w:asciiTheme="minorHAnsi" w:hAnsiTheme="minorHAnsi" w:cstheme="minorHAnsi"/>
          <w:sz w:val="22"/>
          <w:szCs w:val="22"/>
        </w:rPr>
      </w:pPr>
      <w:r w:rsidRPr="003B543C">
        <w:rPr>
          <w:rFonts w:asciiTheme="minorHAnsi" w:hAnsiTheme="minorHAnsi" w:cstheme="minorHAnsi"/>
          <w:sz w:val="22"/>
          <w:szCs w:val="22"/>
        </w:rPr>
        <w:t xml:space="preserve">Certaines communes, bien conscientes de l’importance du défi à relever, soutiennent et développent déjà des initiatives inclusives vis-à-vis de leurs </w:t>
      </w:r>
      <w:proofErr w:type="spellStart"/>
      <w:r w:rsidRPr="003B543C">
        <w:rPr>
          <w:rFonts w:asciiTheme="minorHAnsi" w:hAnsiTheme="minorHAnsi" w:cstheme="minorHAnsi"/>
          <w:sz w:val="22"/>
          <w:szCs w:val="22"/>
        </w:rPr>
        <w:t>administré·es</w:t>
      </w:r>
      <w:proofErr w:type="spellEnd"/>
      <w:r w:rsidRPr="003B543C">
        <w:rPr>
          <w:rFonts w:asciiTheme="minorHAnsi" w:hAnsiTheme="minorHAnsi" w:cstheme="minorHAnsi"/>
          <w:sz w:val="22"/>
          <w:szCs w:val="22"/>
        </w:rPr>
        <w:t xml:space="preserve"> les plus </w:t>
      </w:r>
      <w:proofErr w:type="spellStart"/>
      <w:r w:rsidRPr="003B543C">
        <w:rPr>
          <w:rFonts w:asciiTheme="minorHAnsi" w:hAnsiTheme="minorHAnsi" w:cstheme="minorHAnsi"/>
          <w:sz w:val="22"/>
          <w:szCs w:val="22"/>
        </w:rPr>
        <w:t>fragilisé·es</w:t>
      </w:r>
      <w:proofErr w:type="spellEnd"/>
      <w:r w:rsidRPr="003B543C">
        <w:rPr>
          <w:rFonts w:asciiTheme="minorHAnsi" w:hAnsiTheme="minorHAnsi" w:cstheme="minorHAnsi"/>
          <w:sz w:val="22"/>
          <w:szCs w:val="22"/>
        </w:rPr>
        <w:t>.</w:t>
      </w:r>
    </w:p>
    <w:p w:rsidR="009A0A25" w:rsidRPr="003B543C" w:rsidRDefault="009A0A25">
      <w:pPr>
        <w:pStyle w:val="Default"/>
        <w:rPr>
          <w:rFonts w:asciiTheme="minorHAnsi" w:hAnsiTheme="minorHAnsi" w:cstheme="minorHAnsi"/>
          <w:sz w:val="22"/>
          <w:szCs w:val="22"/>
        </w:rPr>
      </w:pPr>
    </w:p>
    <w:p w:rsidR="009A0A25" w:rsidRPr="003B543C" w:rsidRDefault="00043269">
      <w:pPr>
        <w:rPr>
          <w:rFonts w:eastAsia="Times New Roman" w:cstheme="minorHAnsi"/>
          <w:color w:val="000000"/>
          <w:lang w:eastAsia="fr-BE"/>
        </w:rPr>
      </w:pPr>
      <w:r w:rsidRPr="003B543C">
        <w:rPr>
          <w:rFonts w:eastAsia="Times New Roman" w:cstheme="minorHAnsi"/>
          <w:color w:val="000000"/>
          <w:lang w:eastAsia="fr-BE"/>
        </w:rPr>
        <w:t>5 pistes d’action complémentaires :</w:t>
      </w:r>
    </w:p>
    <w:p w:rsidR="009A0A25" w:rsidRPr="003B543C" w:rsidRDefault="003B543C">
      <w:pPr>
        <w:pStyle w:val="Paragraphedeliste"/>
        <w:numPr>
          <w:ilvl w:val="0"/>
          <w:numId w:val="1"/>
        </w:numPr>
        <w:spacing w:after="0" w:line="240" w:lineRule="auto"/>
        <w:contextualSpacing w:val="0"/>
        <w:rPr>
          <w:rFonts w:asciiTheme="minorHAnsi" w:eastAsia="Times New Roman" w:hAnsiTheme="minorHAnsi" w:cstheme="minorHAnsi"/>
          <w:b/>
          <w:color w:val="000000"/>
          <w:lang w:eastAsia="fr-BE"/>
        </w:rPr>
      </w:pPr>
      <w:r w:rsidRPr="003B543C">
        <w:rPr>
          <w:rFonts w:asciiTheme="minorHAnsi" w:eastAsia="Times New Roman" w:hAnsiTheme="minorHAnsi" w:cstheme="minorHAnsi"/>
          <w:noProof/>
          <w:color w:val="000000"/>
          <w:lang w:eastAsia="fr-BE"/>
        </w:rPr>
        <w:drawing>
          <wp:anchor distT="0" distB="0" distL="114300" distR="114300" simplePos="0" relativeHeight="251658240" behindDoc="0" locked="0" layoutInCell="1" allowOverlap="1" wp14:anchorId="428EF6E4">
            <wp:simplePos x="0" y="0"/>
            <wp:positionH relativeFrom="column">
              <wp:posOffset>3789680</wp:posOffset>
            </wp:positionH>
            <wp:positionV relativeFrom="paragraph">
              <wp:posOffset>64135</wp:posOffset>
            </wp:positionV>
            <wp:extent cx="2268000" cy="1625092"/>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000" cy="1625092"/>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69" w:rsidRPr="003B543C">
        <w:rPr>
          <w:rFonts w:asciiTheme="minorHAnsi" w:eastAsia="Times New Roman" w:hAnsiTheme="minorHAnsi" w:cstheme="minorHAnsi"/>
          <w:b/>
          <w:color w:val="000000"/>
          <w:lang w:eastAsia="fr-BE"/>
        </w:rPr>
        <w:t>Prévoir des alternatives physiques à la numérisation</w:t>
      </w:r>
    </w:p>
    <w:p w:rsidR="009A0A25" w:rsidRPr="003B543C" w:rsidRDefault="00043269">
      <w:pPr>
        <w:pStyle w:val="Paragraphedeliste"/>
        <w:spacing w:after="0" w:line="240" w:lineRule="auto"/>
        <w:contextualSpacing w:val="0"/>
        <w:rPr>
          <w:rFonts w:asciiTheme="minorHAnsi" w:eastAsia="Times New Roman" w:hAnsiTheme="minorHAnsi" w:cstheme="minorHAnsi"/>
          <w:color w:val="000000"/>
          <w:lang w:eastAsia="fr-BE"/>
        </w:rPr>
      </w:pPr>
      <w:bookmarkStart w:id="1" w:name="_Hlk170130154"/>
      <w:r w:rsidRPr="003B543C">
        <w:rPr>
          <w:rFonts w:asciiTheme="minorHAnsi" w:eastAsia="Times New Roman" w:hAnsiTheme="minorHAnsi" w:cstheme="minorHAnsi"/>
          <w:color w:val="000000"/>
          <w:lang w:eastAsia="fr-BE"/>
        </w:rPr>
        <w:t>Garantir un accès à tous les services communaux en maintenant un réseau suffisant de guichets offrant un accompagnement qui permet la réalisation des démarches et la possibilité d’un contact téléphonique adapté à l’ensemble de la population. Tous ces services (y compris le courrier papier) doivent être disponibles sans surcout et sans pénalité. Les personnes illettrées, en grande vulnérabilité numérique, doivent pouvoir utiliser les services publics et ne pas perdre de droits.</w:t>
      </w:r>
      <w:bookmarkEnd w:id="1"/>
      <w:r w:rsidR="003B543C">
        <w:rPr>
          <w:rFonts w:asciiTheme="minorHAnsi" w:eastAsia="Times New Roman" w:hAnsiTheme="minorHAnsi" w:cstheme="minorHAnsi"/>
          <w:color w:val="000000"/>
          <w:lang w:eastAsia="fr-BE"/>
        </w:rPr>
        <w:br/>
      </w:r>
    </w:p>
    <w:p w:rsidR="009A0A25" w:rsidRPr="003B543C" w:rsidRDefault="001B7B94" w:rsidP="001B7B94">
      <w:pPr>
        <w:pStyle w:val="Paragraphedeliste"/>
        <w:numPr>
          <w:ilvl w:val="0"/>
          <w:numId w:val="1"/>
        </w:numPr>
        <w:tabs>
          <w:tab w:val="clear" w:pos="720"/>
          <w:tab w:val="num" w:pos="2977"/>
        </w:tabs>
        <w:spacing w:after="0" w:line="240" w:lineRule="auto"/>
        <w:ind w:left="3686"/>
        <w:contextualSpacing w:val="0"/>
        <w:rPr>
          <w:rFonts w:asciiTheme="minorHAnsi" w:eastAsia="Times New Roman" w:hAnsiTheme="minorHAnsi" w:cstheme="minorHAnsi"/>
          <w:b/>
          <w:color w:val="000000"/>
          <w:lang w:eastAsia="fr-BE"/>
        </w:rPr>
      </w:pPr>
      <w:r>
        <w:rPr>
          <w:rFonts w:asciiTheme="minorHAnsi" w:eastAsia="Times New Roman" w:hAnsiTheme="minorHAnsi" w:cstheme="minorHAnsi"/>
          <w:noProof/>
          <w:color w:val="000000"/>
          <w:lang w:eastAsia="fr-BE"/>
        </w:rPr>
        <w:drawing>
          <wp:anchor distT="0" distB="0" distL="114300" distR="114300" simplePos="0" relativeHeight="251659264" behindDoc="0" locked="0" layoutInCell="1" allowOverlap="1">
            <wp:simplePos x="0" y="0"/>
            <wp:positionH relativeFrom="column">
              <wp:posOffset>-309880</wp:posOffset>
            </wp:positionH>
            <wp:positionV relativeFrom="paragraph">
              <wp:posOffset>90643</wp:posOffset>
            </wp:positionV>
            <wp:extent cx="2268000" cy="1497600"/>
            <wp:effectExtent l="0" t="0" r="0" b="762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8000" cy="14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69" w:rsidRPr="003B543C">
        <w:rPr>
          <w:rFonts w:asciiTheme="minorHAnsi" w:eastAsia="Times New Roman" w:hAnsiTheme="minorHAnsi" w:cstheme="minorHAnsi"/>
          <w:b/>
          <w:color w:val="000000"/>
          <w:lang w:eastAsia="fr-BE"/>
        </w:rPr>
        <w:t>Prendre en compte les personnes illettrées</w:t>
      </w:r>
    </w:p>
    <w:p w:rsidR="009A0A25" w:rsidRPr="003B543C" w:rsidRDefault="00043269" w:rsidP="001B7B94">
      <w:pPr>
        <w:pStyle w:val="Paragraphedeliste"/>
        <w:tabs>
          <w:tab w:val="num" w:pos="2977"/>
        </w:tabs>
        <w:spacing w:after="0" w:line="240" w:lineRule="auto"/>
        <w:ind w:left="3686"/>
        <w:contextualSpacing w:val="0"/>
        <w:rPr>
          <w:rFonts w:asciiTheme="minorHAnsi" w:eastAsia="Times New Roman" w:hAnsiTheme="minorHAnsi" w:cstheme="minorHAnsi"/>
          <w:color w:val="000000"/>
          <w:lang w:eastAsia="fr-BE"/>
        </w:rPr>
      </w:pPr>
      <w:r w:rsidRPr="003B543C">
        <w:rPr>
          <w:rFonts w:asciiTheme="minorHAnsi" w:eastAsia="Times New Roman" w:hAnsiTheme="minorHAnsi" w:cstheme="minorHAnsi"/>
          <w:color w:val="000000"/>
          <w:lang w:eastAsia="fr-BE"/>
        </w:rPr>
        <w:t>Sensibiliser et former le personnel communal susceptible d’accueillir et de travailler avec les personnes en difficulté de lecture et d’écriture au sein de ses différentes structures. Cette prise en compte peut aussi se décliner sous la forme de soutien à des initiatives locales comme les services écrivains publics, informaticiens publics et Espaces publics numériques ainsi que la mise à disposition de locaux pour les formations en alphabétisation tant en zone urbaine qu’en milieu rural.</w:t>
      </w:r>
      <w:r w:rsidR="003B543C">
        <w:rPr>
          <w:rFonts w:asciiTheme="minorHAnsi" w:eastAsia="Times New Roman" w:hAnsiTheme="minorHAnsi" w:cstheme="minorHAnsi"/>
          <w:color w:val="000000"/>
          <w:lang w:eastAsia="fr-BE"/>
        </w:rPr>
        <w:br/>
      </w:r>
    </w:p>
    <w:p w:rsidR="009A0A25" w:rsidRPr="003B543C" w:rsidRDefault="003B543C">
      <w:pPr>
        <w:pStyle w:val="Paragraphedeliste"/>
        <w:numPr>
          <w:ilvl w:val="0"/>
          <w:numId w:val="1"/>
        </w:numPr>
        <w:spacing w:after="0" w:line="240" w:lineRule="auto"/>
        <w:contextualSpacing w:val="0"/>
        <w:rPr>
          <w:rFonts w:asciiTheme="minorHAnsi" w:eastAsia="Times New Roman" w:hAnsiTheme="minorHAnsi" w:cstheme="minorHAnsi"/>
          <w:b/>
          <w:color w:val="000000"/>
          <w:lang w:eastAsia="fr-BE"/>
        </w:rPr>
      </w:pPr>
      <w:r>
        <w:rPr>
          <w:rFonts w:asciiTheme="minorHAnsi" w:eastAsia="Times New Roman" w:hAnsiTheme="minorHAnsi" w:cstheme="minorHAnsi"/>
          <w:noProof/>
          <w:color w:val="000000"/>
          <w:lang w:eastAsia="fr-BE"/>
        </w:rPr>
        <w:drawing>
          <wp:anchor distT="0" distB="0" distL="114300" distR="114300" simplePos="0" relativeHeight="251660288" behindDoc="0" locked="0" layoutInCell="1" allowOverlap="1">
            <wp:simplePos x="0" y="0"/>
            <wp:positionH relativeFrom="column">
              <wp:posOffset>3786505</wp:posOffset>
            </wp:positionH>
            <wp:positionV relativeFrom="paragraph">
              <wp:posOffset>77632</wp:posOffset>
            </wp:positionV>
            <wp:extent cx="2268000" cy="1514681"/>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000" cy="1514681"/>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69" w:rsidRPr="003B543C">
        <w:rPr>
          <w:rFonts w:asciiTheme="minorHAnsi" w:eastAsia="Times New Roman" w:hAnsiTheme="minorHAnsi" w:cstheme="minorHAnsi"/>
          <w:b/>
          <w:color w:val="000000"/>
          <w:lang w:eastAsia="fr-BE"/>
        </w:rPr>
        <w:t>Prévenir l’illettrisme dès l’école maternelle</w:t>
      </w:r>
    </w:p>
    <w:p w:rsidR="009A0A25" w:rsidRPr="003B543C" w:rsidRDefault="00A64DA9">
      <w:pPr>
        <w:pStyle w:val="Paragraphedeliste"/>
        <w:spacing w:after="0" w:line="240" w:lineRule="auto"/>
        <w:contextualSpacing w:val="0"/>
        <w:rPr>
          <w:rFonts w:asciiTheme="minorHAnsi" w:eastAsia="Times New Roman" w:hAnsiTheme="minorHAnsi" w:cstheme="minorHAnsi"/>
          <w:color w:val="000000"/>
          <w:lang w:eastAsia="fr-BE"/>
        </w:rPr>
      </w:pPr>
      <w:r>
        <w:rPr>
          <w:rFonts w:asciiTheme="minorHAnsi" w:eastAsia="Times New Roman" w:hAnsiTheme="minorHAnsi" w:cstheme="minorHAnsi"/>
          <w:noProof/>
          <w:color w:val="000000"/>
          <w:lang w:eastAsia="fr-BE"/>
        </w:rPr>
        <w:drawing>
          <wp:anchor distT="0" distB="0" distL="114300" distR="114300" simplePos="0" relativeHeight="251661312" behindDoc="0" locked="0" layoutInCell="1" allowOverlap="1">
            <wp:simplePos x="0" y="0"/>
            <wp:positionH relativeFrom="column">
              <wp:posOffset>-314960</wp:posOffset>
            </wp:positionH>
            <wp:positionV relativeFrom="paragraph">
              <wp:posOffset>1690843</wp:posOffset>
            </wp:positionV>
            <wp:extent cx="2267331" cy="157162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7331"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69" w:rsidRPr="003B543C">
        <w:rPr>
          <w:rFonts w:asciiTheme="minorHAnsi" w:eastAsia="Times New Roman" w:hAnsiTheme="minorHAnsi" w:cstheme="minorHAnsi"/>
          <w:color w:val="000000"/>
          <w:lang w:eastAsia="fr-BE"/>
        </w:rPr>
        <w:t>S’assurer que les écoles communales investissent dans la réussite de tous les élèves. Une des mesures pour lutter contre l’échec scolaire et les inégalités qui caractérisent encore trop souvent notre enseignement, est de favoriser un accompagnement pédagogique dès l’apparition des premières difficultés d’apprentissage. Il est aussi essentiel que l’école réfléchisse à la manière dont elle communique avec les parents qui sont eux-mêmes en difficulté de lecture et d’écriture.</w:t>
      </w:r>
      <w:r w:rsidR="001B7B94">
        <w:rPr>
          <w:rFonts w:asciiTheme="minorHAnsi" w:eastAsia="Times New Roman" w:hAnsiTheme="minorHAnsi" w:cstheme="minorHAnsi"/>
          <w:color w:val="000000"/>
          <w:lang w:eastAsia="fr-BE"/>
        </w:rPr>
        <w:br/>
      </w:r>
      <w:r w:rsidR="003B543C">
        <w:rPr>
          <w:rFonts w:asciiTheme="minorHAnsi" w:eastAsia="Times New Roman" w:hAnsiTheme="minorHAnsi" w:cstheme="minorHAnsi"/>
          <w:color w:val="000000"/>
          <w:lang w:eastAsia="fr-BE"/>
        </w:rPr>
        <w:br/>
      </w:r>
    </w:p>
    <w:p w:rsidR="009A0A25" w:rsidRPr="003B543C" w:rsidRDefault="00043269" w:rsidP="001B7B94">
      <w:pPr>
        <w:pStyle w:val="Paragraphedeliste"/>
        <w:numPr>
          <w:ilvl w:val="0"/>
          <w:numId w:val="1"/>
        </w:numPr>
        <w:tabs>
          <w:tab w:val="clear" w:pos="720"/>
        </w:tabs>
        <w:spacing w:after="0" w:line="240" w:lineRule="auto"/>
        <w:ind w:left="3686"/>
        <w:contextualSpacing w:val="0"/>
        <w:rPr>
          <w:rFonts w:asciiTheme="minorHAnsi" w:eastAsia="Times New Roman" w:hAnsiTheme="minorHAnsi" w:cstheme="minorHAnsi"/>
          <w:b/>
          <w:color w:val="000000"/>
          <w:lang w:eastAsia="fr-BE"/>
        </w:rPr>
      </w:pPr>
      <w:r w:rsidRPr="003B543C">
        <w:rPr>
          <w:rFonts w:asciiTheme="minorHAnsi" w:eastAsia="Times New Roman" w:hAnsiTheme="minorHAnsi" w:cstheme="minorHAnsi"/>
          <w:b/>
          <w:color w:val="000000"/>
          <w:lang w:eastAsia="fr-BE"/>
        </w:rPr>
        <w:t>Améliorer l’information, la signalétique</w:t>
      </w:r>
    </w:p>
    <w:p w:rsidR="009A0A25" w:rsidRPr="003B543C" w:rsidRDefault="00043269" w:rsidP="001B7B94">
      <w:pPr>
        <w:pStyle w:val="Paragraphedeliste"/>
        <w:spacing w:after="0" w:line="240" w:lineRule="auto"/>
        <w:ind w:left="3686"/>
        <w:contextualSpacing w:val="0"/>
        <w:rPr>
          <w:rFonts w:asciiTheme="minorHAnsi" w:eastAsia="Times New Roman" w:hAnsiTheme="minorHAnsi" w:cstheme="minorHAnsi"/>
          <w:b/>
          <w:color w:val="000000"/>
          <w:lang w:eastAsia="fr-BE"/>
        </w:rPr>
      </w:pPr>
      <w:r w:rsidRPr="003B543C">
        <w:rPr>
          <w:rFonts w:asciiTheme="minorHAnsi" w:eastAsia="Times New Roman" w:hAnsiTheme="minorHAnsi" w:cstheme="minorHAnsi"/>
          <w:color w:val="000000"/>
          <w:lang w:eastAsia="fr-BE"/>
        </w:rPr>
        <w:t>Adapter les documents administratifs aux usagers les plus faibles (en les simplifiant) et permettre aux personnes illettrées de s’orienter facilement dans les différents bâtiments et services de l’administration (en utilisant des pictogrammes, une signalétique de couleur, etc.)</w:t>
      </w:r>
      <w:r w:rsidR="001B7B94">
        <w:rPr>
          <w:rFonts w:asciiTheme="minorHAnsi" w:eastAsia="Times New Roman" w:hAnsiTheme="minorHAnsi" w:cstheme="minorHAnsi"/>
          <w:color w:val="000000"/>
          <w:lang w:eastAsia="fr-BE"/>
        </w:rPr>
        <w:br/>
      </w:r>
      <w:r w:rsidR="001B7B94">
        <w:rPr>
          <w:rFonts w:asciiTheme="minorHAnsi" w:eastAsia="Times New Roman" w:hAnsiTheme="minorHAnsi" w:cstheme="minorHAnsi"/>
          <w:color w:val="000000"/>
          <w:lang w:eastAsia="fr-BE"/>
        </w:rPr>
        <w:br/>
      </w:r>
      <w:r w:rsidR="003B543C">
        <w:rPr>
          <w:rFonts w:asciiTheme="minorHAnsi" w:eastAsia="Times New Roman" w:hAnsiTheme="minorHAnsi" w:cstheme="minorHAnsi"/>
          <w:color w:val="000000"/>
          <w:lang w:eastAsia="fr-BE"/>
        </w:rPr>
        <w:br/>
      </w:r>
    </w:p>
    <w:p w:rsidR="009A0A25" w:rsidRPr="003B543C" w:rsidRDefault="001B7B94">
      <w:pPr>
        <w:pStyle w:val="Paragraphedeliste"/>
        <w:numPr>
          <w:ilvl w:val="0"/>
          <w:numId w:val="1"/>
        </w:numPr>
        <w:spacing w:after="0" w:line="240" w:lineRule="auto"/>
        <w:contextualSpacing w:val="0"/>
        <w:rPr>
          <w:rFonts w:asciiTheme="minorHAnsi" w:eastAsia="Times New Roman" w:hAnsiTheme="minorHAnsi" w:cstheme="minorHAnsi"/>
          <w:b/>
          <w:color w:val="000000"/>
          <w:lang w:eastAsia="fr-BE"/>
        </w:rPr>
      </w:pPr>
      <w:r>
        <w:rPr>
          <w:rFonts w:asciiTheme="minorHAnsi" w:eastAsia="Times New Roman" w:hAnsiTheme="minorHAnsi" w:cstheme="minorHAnsi"/>
          <w:noProof/>
          <w:color w:val="000000"/>
          <w:lang w:eastAsia="fr-BE"/>
        </w:rPr>
        <w:drawing>
          <wp:anchor distT="0" distB="0" distL="114300" distR="114300" simplePos="0" relativeHeight="251662336" behindDoc="0" locked="0" layoutInCell="1" allowOverlap="1">
            <wp:simplePos x="0" y="0"/>
            <wp:positionH relativeFrom="column">
              <wp:posOffset>3787775</wp:posOffset>
            </wp:positionH>
            <wp:positionV relativeFrom="paragraph">
              <wp:posOffset>163992</wp:posOffset>
            </wp:positionV>
            <wp:extent cx="2268000" cy="1580400"/>
            <wp:effectExtent l="0" t="0" r="0" b="127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8000" cy="158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269" w:rsidRPr="003B543C">
        <w:rPr>
          <w:rFonts w:asciiTheme="minorHAnsi" w:eastAsia="Times New Roman" w:hAnsiTheme="minorHAnsi" w:cstheme="minorHAnsi"/>
          <w:b/>
          <w:color w:val="000000"/>
          <w:lang w:eastAsia="fr-BE"/>
        </w:rPr>
        <w:t>Améliorer l’accessibilité aux infrastructures communales</w:t>
      </w:r>
    </w:p>
    <w:p w:rsidR="009A0A25" w:rsidRPr="003B543C" w:rsidRDefault="00043269">
      <w:pPr>
        <w:pStyle w:val="Paragraphedeliste"/>
        <w:spacing w:after="0" w:line="240" w:lineRule="auto"/>
        <w:contextualSpacing w:val="0"/>
        <w:rPr>
          <w:rFonts w:asciiTheme="minorHAnsi" w:eastAsia="Times New Roman" w:hAnsiTheme="minorHAnsi" w:cstheme="minorHAnsi"/>
          <w:color w:val="000000"/>
          <w:lang w:eastAsia="fr-BE"/>
        </w:rPr>
      </w:pPr>
      <w:r w:rsidRPr="003B543C">
        <w:rPr>
          <w:rFonts w:asciiTheme="minorHAnsi" w:eastAsia="Times New Roman" w:hAnsiTheme="minorHAnsi" w:cstheme="minorHAnsi"/>
          <w:color w:val="000000"/>
          <w:lang w:eastAsia="fr-BE"/>
        </w:rPr>
        <w:t>Les communes proposent une série de services : administratifs, sociaux, culturels, sportifs, de loisirs, etc. Face aux problèmes de mobilité rencontrés par de plus en plus de personnes, il est nécessaire d’améliorer la fréquence des transports publics (y compris les navettes sociales) et d’offrir des horaires d’ouverture plus larges. La qualité de l’accueil peut aussi s’avérer déterminant</w:t>
      </w:r>
      <w:r w:rsidR="003B543C" w:rsidRPr="003B543C">
        <w:rPr>
          <w:rFonts w:asciiTheme="minorHAnsi" w:eastAsia="Times New Roman" w:hAnsiTheme="minorHAnsi" w:cstheme="minorHAnsi"/>
          <w:color w:val="000000"/>
          <w:lang w:eastAsia="fr-BE"/>
        </w:rPr>
        <w:t>e</w:t>
      </w:r>
      <w:r w:rsidRPr="003B543C">
        <w:rPr>
          <w:rFonts w:asciiTheme="minorHAnsi" w:eastAsia="Times New Roman" w:hAnsiTheme="minorHAnsi" w:cstheme="minorHAnsi"/>
          <w:color w:val="000000"/>
          <w:lang w:eastAsia="fr-BE"/>
        </w:rPr>
        <w:t xml:space="preserve"> pour les personnes qui, une fois sur place, ne savent pas toujours faire part de leur demande ou pensent que les activités proposées ne leur sont pas destinées.</w:t>
      </w:r>
    </w:p>
    <w:p w:rsidR="009A0A25" w:rsidRPr="003B543C" w:rsidRDefault="009A0A25">
      <w:pPr>
        <w:pStyle w:val="Default"/>
        <w:rPr>
          <w:rFonts w:asciiTheme="minorHAnsi" w:hAnsiTheme="minorHAnsi" w:cstheme="minorHAnsi"/>
          <w:b/>
          <w:sz w:val="22"/>
          <w:szCs w:val="22"/>
        </w:rPr>
      </w:pPr>
    </w:p>
    <w:p w:rsidR="00043269" w:rsidRPr="003B543C" w:rsidRDefault="00043269">
      <w:pPr>
        <w:spacing w:after="0" w:line="240" w:lineRule="auto"/>
        <w:rPr>
          <w:rFonts w:eastAsia="Times New Roman" w:cstheme="minorHAnsi"/>
          <w:b/>
          <w:color w:val="000000"/>
          <w:lang w:eastAsia="fr-BE"/>
        </w:rPr>
      </w:pPr>
    </w:p>
    <w:p w:rsidR="009A0A25" w:rsidRPr="00A64DA9" w:rsidRDefault="00043269">
      <w:pPr>
        <w:pStyle w:val="Default"/>
        <w:rPr>
          <w:rFonts w:asciiTheme="minorHAnsi" w:hAnsiTheme="minorHAnsi" w:cstheme="minorHAnsi"/>
          <w:b/>
          <w:sz w:val="28"/>
          <w:szCs w:val="28"/>
        </w:rPr>
      </w:pPr>
      <w:r w:rsidRPr="00A64DA9">
        <w:rPr>
          <w:rFonts w:asciiTheme="minorHAnsi" w:hAnsiTheme="minorHAnsi" w:cstheme="minorHAnsi"/>
          <w:b/>
          <w:sz w:val="28"/>
          <w:szCs w:val="28"/>
        </w:rPr>
        <w:t>Quelles actions de campagne sont prévues ?</w:t>
      </w:r>
    </w:p>
    <w:p w:rsidR="009A0A25" w:rsidRPr="003B543C" w:rsidRDefault="009A0A25">
      <w:pPr>
        <w:spacing w:after="0" w:line="240" w:lineRule="auto"/>
        <w:rPr>
          <w:rFonts w:eastAsia="Times New Roman" w:cstheme="minorHAnsi"/>
          <w:color w:val="000000"/>
          <w:lang w:eastAsia="fr-BE"/>
        </w:rPr>
      </w:pPr>
    </w:p>
    <w:p w:rsidR="009A0A25" w:rsidRPr="003B543C" w:rsidRDefault="00043269">
      <w:pPr>
        <w:spacing w:after="0" w:line="240" w:lineRule="auto"/>
        <w:rPr>
          <w:rFonts w:eastAsia="Times New Roman" w:cstheme="minorHAnsi"/>
          <w:color w:val="000000"/>
          <w:lang w:eastAsia="fr-BE"/>
        </w:rPr>
      </w:pPr>
      <w:r w:rsidRPr="003B543C">
        <w:rPr>
          <w:rFonts w:eastAsia="Times New Roman" w:cstheme="minorHAnsi"/>
          <w:color w:val="000000"/>
          <w:lang w:eastAsia="fr-BE"/>
        </w:rPr>
        <w:t>Ce message sera largement diffusé à travers les réseaux sociaux pour la Journée internationale de l’alphabétisation, du 8 septembre. Entre cette date et celle des élections, des actions de mobilisation seront mises en place à l’échelle régionale pour toucher les communes où des équipes de Lire et Écrire organiseront des rencontres et des petits déjeuners d’interpellation.</w:t>
      </w:r>
    </w:p>
    <w:p w:rsidR="009A0A25" w:rsidRPr="003B543C" w:rsidRDefault="009A0A25">
      <w:pPr>
        <w:spacing w:after="0" w:line="240" w:lineRule="auto"/>
        <w:rPr>
          <w:rFonts w:eastAsia="Times New Roman" w:cstheme="minorHAnsi"/>
          <w:color w:val="000000"/>
          <w:lang w:eastAsia="fr-BE"/>
        </w:rPr>
      </w:pPr>
    </w:p>
    <w:p w:rsidR="00A64DA9" w:rsidRPr="001B7B94" w:rsidRDefault="00A64DA9" w:rsidP="00A64DA9">
      <w:pPr>
        <w:spacing w:after="0" w:line="240" w:lineRule="auto"/>
        <w:rPr>
          <w:rFonts w:eastAsia="Times New Roman" w:cstheme="minorHAnsi"/>
          <w:color w:val="000000"/>
          <w:lang w:eastAsia="fr-BE"/>
        </w:rPr>
      </w:pPr>
      <w:r w:rsidRPr="003B543C">
        <w:rPr>
          <w:rFonts w:eastAsia="Times New Roman" w:cstheme="minorHAnsi"/>
          <w:noProof/>
          <w:color w:val="000000"/>
          <w:lang w:eastAsia="fr-BE"/>
        </w:rPr>
        <mc:AlternateContent>
          <mc:Choice Requires="wps">
            <w:drawing>
              <wp:anchor distT="45720" distB="46990" distL="114300" distR="123190" simplePos="0" relativeHeight="3" behindDoc="1" locked="0" layoutInCell="0" allowOverlap="1" wp14:anchorId="07179B2F">
                <wp:simplePos x="0" y="0"/>
                <wp:positionH relativeFrom="margin">
                  <wp:posOffset>-264795</wp:posOffset>
                </wp:positionH>
                <wp:positionV relativeFrom="paragraph">
                  <wp:posOffset>838835</wp:posOffset>
                </wp:positionV>
                <wp:extent cx="6264910" cy="1020445"/>
                <wp:effectExtent l="0" t="0" r="2540" b="8255"/>
                <wp:wrapNone/>
                <wp:docPr id="2" name="Zone de texte 2"/>
                <wp:cNvGraphicFramePr/>
                <a:graphic xmlns:a="http://schemas.openxmlformats.org/drawingml/2006/main">
                  <a:graphicData uri="http://schemas.microsoft.com/office/word/2010/wordprocessingShape">
                    <wps:wsp>
                      <wps:cNvSpPr/>
                      <wps:spPr>
                        <a:xfrm>
                          <a:off x="0" y="0"/>
                          <a:ext cx="6264910" cy="1020445"/>
                        </a:xfrm>
                        <a:prstGeom prst="rect">
                          <a:avLst/>
                        </a:prstGeom>
                        <a:solidFill>
                          <a:srgbClr val="E7E6E6"/>
                        </a:solidFill>
                        <a:ln w="9525">
                          <a:noFill/>
                        </a:ln>
                      </wps:spPr>
                      <wps:style>
                        <a:lnRef idx="0">
                          <a:scrgbClr r="0" g="0" b="0"/>
                        </a:lnRef>
                        <a:fillRef idx="0">
                          <a:scrgbClr r="0" g="0" b="0"/>
                        </a:fillRef>
                        <a:effectRef idx="0">
                          <a:scrgbClr r="0" g="0" b="0"/>
                        </a:effectRef>
                        <a:fontRef idx="minor"/>
                      </wps:style>
                      <wps:txbx>
                        <w:txbxContent>
                          <w:p w:rsidR="009A0A25" w:rsidRPr="00A64DA9" w:rsidRDefault="00043269" w:rsidP="00A64DA9">
                            <w:pPr>
                              <w:pStyle w:val="Contenudecadre"/>
                              <w:tabs>
                                <w:tab w:val="left" w:pos="1276"/>
                              </w:tabs>
                              <w:spacing w:before="120" w:after="120" w:line="252" w:lineRule="auto"/>
                              <w:ind w:left="1276" w:hanging="1276"/>
                              <w:rPr>
                                <w:sz w:val="18"/>
                                <w:szCs w:val="18"/>
                              </w:rPr>
                            </w:pPr>
                            <w:r w:rsidRPr="00A64DA9">
                              <w:rPr>
                                <w:rFonts w:ascii="Calibri" w:hAnsi="Calibri" w:cs="Calibri"/>
                                <w:b/>
                                <w:color w:val="000000"/>
                                <w:sz w:val="18"/>
                                <w:szCs w:val="18"/>
                                <w:lang w:val="fr-FR"/>
                              </w:rPr>
                              <w:t>Contact presse :</w:t>
                            </w:r>
                            <w:r w:rsidRPr="00A64DA9">
                              <w:rPr>
                                <w:rFonts w:ascii="Calibri" w:hAnsi="Calibri" w:cs="Calibri"/>
                                <w:color w:val="000000"/>
                                <w:sz w:val="18"/>
                                <w:szCs w:val="18"/>
                                <w:lang w:val="fr-FR"/>
                              </w:rPr>
                              <w:t xml:space="preserve"> </w:t>
                            </w:r>
                            <w:r w:rsidR="00A64DA9">
                              <w:rPr>
                                <w:rFonts w:ascii="Calibri" w:hAnsi="Calibri" w:cs="Calibri"/>
                                <w:color w:val="000000"/>
                                <w:sz w:val="18"/>
                                <w:szCs w:val="18"/>
                                <w:lang w:val="fr-FR"/>
                              </w:rPr>
                              <w:tab/>
                            </w:r>
                            <w:r w:rsidRPr="00A64DA9">
                              <w:rPr>
                                <w:rFonts w:ascii="Calibri" w:hAnsi="Calibri" w:cs="NiveauGroteskRegular"/>
                                <w:color w:val="000000"/>
                                <w:sz w:val="18"/>
                                <w:szCs w:val="18"/>
                                <w:lang w:val="fr-FR"/>
                              </w:rPr>
                              <w:t xml:space="preserve">Lire et Écrire Communauté française – Cécilia </w:t>
                            </w:r>
                            <w:proofErr w:type="spellStart"/>
                            <w:r w:rsidRPr="00A64DA9">
                              <w:rPr>
                                <w:rFonts w:ascii="Calibri" w:hAnsi="Calibri" w:cs="NiveauGroteskRegular"/>
                                <w:color w:val="000000"/>
                                <w:sz w:val="18"/>
                                <w:szCs w:val="18"/>
                                <w:lang w:val="fr-FR"/>
                              </w:rPr>
                              <w:t>Locmant</w:t>
                            </w:r>
                            <w:proofErr w:type="spellEnd"/>
                            <w:r w:rsidR="00A64DA9">
                              <w:rPr>
                                <w:rFonts w:ascii="Calibri" w:hAnsi="Calibri" w:cs="NiveauGroteskRegular"/>
                                <w:color w:val="000000"/>
                                <w:sz w:val="18"/>
                                <w:szCs w:val="18"/>
                                <w:lang w:val="fr-FR"/>
                              </w:rPr>
                              <w:t> :</w:t>
                            </w:r>
                            <w:r w:rsidR="00A64DA9">
                              <w:rPr>
                                <w:rFonts w:ascii="Calibri" w:hAnsi="Calibri" w:cs="NiveauGroteskRegular"/>
                                <w:color w:val="000000"/>
                                <w:sz w:val="18"/>
                                <w:szCs w:val="18"/>
                                <w:lang w:val="fr-FR"/>
                              </w:rPr>
                              <w:br/>
                            </w:r>
                            <w:r w:rsidRPr="00A64DA9">
                              <w:rPr>
                                <w:rFonts w:ascii="Calibri" w:hAnsi="Calibri" w:cs="NiveauGroteskRegular"/>
                                <w:color w:val="000000"/>
                                <w:sz w:val="18"/>
                                <w:szCs w:val="18"/>
                                <w:lang w:val="fr-FR"/>
                              </w:rPr>
                              <w:t xml:space="preserve">02 502 72 01 – 0474 33 85 60 – </w:t>
                            </w:r>
                            <w:hyperlink r:id="rId14">
                              <w:r w:rsidRPr="00A64DA9">
                                <w:rPr>
                                  <w:rStyle w:val="Lienhypertexte"/>
                                  <w:rFonts w:ascii="Calibri" w:hAnsi="Calibri" w:cs="NiveauGroteskRegular"/>
                                  <w:sz w:val="18"/>
                                  <w:szCs w:val="18"/>
                                  <w:lang w:val="fr-FR"/>
                                </w:rPr>
                                <w:t>cecilia.locmant@lire-et-ecrire.be</w:t>
                              </w:r>
                            </w:hyperlink>
                          </w:p>
                          <w:p w:rsidR="009A0A25" w:rsidRPr="00A64DA9" w:rsidRDefault="00043269" w:rsidP="00A64DA9">
                            <w:pPr>
                              <w:pStyle w:val="Contenudecadre"/>
                              <w:spacing w:before="120" w:after="120" w:line="252" w:lineRule="auto"/>
                            </w:pPr>
                            <w:r w:rsidRPr="00A64DA9">
                              <w:rPr>
                                <w:rFonts w:ascii="Calibri" w:hAnsi="Calibri" w:cs="Calibri"/>
                                <w:color w:val="000000"/>
                                <w:sz w:val="18"/>
                                <w:szCs w:val="18"/>
                                <w:lang w:val="fr-FR"/>
                              </w:rPr>
                              <w:t xml:space="preserve">Des informations plus détaillées se trouvent sur notre page de campagne : </w:t>
                            </w:r>
                            <w:hyperlink r:id="rId15">
                              <w:r w:rsidRPr="00A64DA9">
                                <w:rPr>
                                  <w:rStyle w:val="Lienhypertexte"/>
                                  <w:rFonts w:ascii="Calibri" w:hAnsi="Calibri"/>
                                  <w:sz w:val="18"/>
                                  <w:szCs w:val="18"/>
                                </w:rPr>
                                <w:t>https://lire-et-ecrire.be/votons</w:t>
                              </w:r>
                            </w:hyperlink>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7179B2F" id="Zone de texte 2" o:spid="_x0000_s1026" style="position:absolute;margin-left:-20.85pt;margin-top:66.05pt;width:493.3pt;height:80.35pt;z-index:-503316477;visibility:visible;mso-wrap-style:square;mso-width-percent:0;mso-height-percent:0;mso-wrap-distance-left:9pt;mso-wrap-distance-top:3.6pt;mso-wrap-distance-right:9.7pt;mso-wrap-distance-bottom:3.7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Y89wEAAD8EAAAOAAAAZHJzL2Uyb0RvYy54bWysU02P0zAQvSPxHyzfadKoLWzUdIXYLhcE&#10;KxYue3OdcWPJX9huk/57xk42u8BpV1wcO573xu/NzPZ60IqcwQdpTUOXi5ISMNy20hwb+vPH7bsP&#10;lITITMuUNdDQCwR6vXv7Ztu7GirbWdWCJ0hiQt27hnYxurooAu9As7CwDgxeCus1i3j0x6L1rEd2&#10;rYqqLDdFb33rvOUQAv69GS/pLvMLATx+EyJAJKqh+LaYV5/XQ1qL3ZbVR89cJ/n0DPaKV2gmDSad&#10;qW5YZOTk5T9UWnJvgxVxwa0urBCSQ9aAapblX2ruO+Yga0FzgpttCv+Pln8933ki24ZWlBimsUQP&#10;WCjSAokwRCBVsqh3ocbIe3fnp1PAbdI7CK/TF5WQIdt6mW1FPOH4c1NtVldLdJ/j3bKsytVqnViL&#10;J7jzIX4Gq0naNNRj3bKd7PwlxDH0MSRlC1bJ9lYqlQ/+ePikPDkzrPH+/X6z30zsf4QpQ/qGXq2r&#10;dWY2NuFHamXwMUnjqCrv4kVBYlfmOwg0KIvL6fiUb+wibHNU9thLKCkDUqBA/hdiJ0hCQ27eF+Jn&#10;UM5vTZzxWhrrsy3P1KVtHA7DVNODbS/YDD1OQ0PDrxPzQAkzvLMolUc/+fbxFK2QuSqJYERNBmKX&#10;5rpOE5XG4Pk5Rz3N/e43AAAA//8DAFBLAwQUAAYACAAAACEAOxv5aeEAAAALAQAADwAAAGRycy9k&#10;b3ducmV2LnhtbEyPQU+EMBCF7yb+h2ZMvO0WKnEBKRs17sHEyy6r5y6tQKBTpN0F/73jSY+T9+W9&#10;b4rtYgd2MZPvHEqI1xEwg7XTHTYSjtVulQLzQaFWg0Mj4dt42JbXV4XKtZtxby6H0DAqQZ8rCW0I&#10;Y865r1tjlV+70SBln26yKtA5NVxPaqZyO3ARRffcqg5poVWjeW5N3R/OVsLUp5u395enD/G13/XV&#10;q5urYz9LeXuzPD4AC2YJfzD86pM6lOR0cmfUng0SVkm8IZSCOxEDIyJLkgzYSYLIRAq8LPj/H8of&#10;AAAA//8DAFBLAQItABQABgAIAAAAIQC2gziS/gAAAOEBAAATAAAAAAAAAAAAAAAAAAAAAABbQ29u&#10;dGVudF9UeXBlc10ueG1sUEsBAi0AFAAGAAgAAAAhADj9If/WAAAAlAEAAAsAAAAAAAAAAAAAAAAA&#10;LwEAAF9yZWxzLy5yZWxzUEsBAi0AFAAGAAgAAAAhAHDmJjz3AQAAPwQAAA4AAAAAAAAAAAAAAAAA&#10;LgIAAGRycy9lMm9Eb2MueG1sUEsBAi0AFAAGAAgAAAAhADsb+WnhAAAACwEAAA8AAAAAAAAAAAAA&#10;AAAAUQQAAGRycy9kb3ducmV2LnhtbFBLBQYAAAAABAAEAPMAAABfBQAAAAA=&#10;" o:allowincell="f" fillcolor="#e7e6e6" stroked="f">
                <v:textbox>
                  <w:txbxContent>
                    <w:p w:rsidR="009A0A25" w:rsidRPr="00A64DA9" w:rsidRDefault="00043269" w:rsidP="00A64DA9">
                      <w:pPr>
                        <w:pStyle w:val="Contenudecadre"/>
                        <w:tabs>
                          <w:tab w:val="left" w:pos="1276"/>
                        </w:tabs>
                        <w:spacing w:before="120" w:after="120" w:line="252" w:lineRule="auto"/>
                        <w:ind w:left="1276" w:hanging="1276"/>
                        <w:rPr>
                          <w:sz w:val="18"/>
                          <w:szCs w:val="18"/>
                        </w:rPr>
                      </w:pPr>
                      <w:r w:rsidRPr="00A64DA9">
                        <w:rPr>
                          <w:rFonts w:ascii="Calibri" w:hAnsi="Calibri" w:cs="Calibri"/>
                          <w:b/>
                          <w:color w:val="000000"/>
                          <w:sz w:val="18"/>
                          <w:szCs w:val="18"/>
                          <w:lang w:val="fr-FR"/>
                        </w:rPr>
                        <w:t>Contact presse :</w:t>
                      </w:r>
                      <w:r w:rsidRPr="00A64DA9">
                        <w:rPr>
                          <w:rFonts w:ascii="Calibri" w:hAnsi="Calibri" w:cs="Calibri"/>
                          <w:color w:val="000000"/>
                          <w:sz w:val="18"/>
                          <w:szCs w:val="18"/>
                          <w:lang w:val="fr-FR"/>
                        </w:rPr>
                        <w:t xml:space="preserve"> </w:t>
                      </w:r>
                      <w:r w:rsidR="00A64DA9">
                        <w:rPr>
                          <w:rFonts w:ascii="Calibri" w:hAnsi="Calibri" w:cs="Calibri"/>
                          <w:color w:val="000000"/>
                          <w:sz w:val="18"/>
                          <w:szCs w:val="18"/>
                          <w:lang w:val="fr-FR"/>
                        </w:rPr>
                        <w:tab/>
                      </w:r>
                      <w:r w:rsidRPr="00A64DA9">
                        <w:rPr>
                          <w:rFonts w:ascii="Calibri" w:hAnsi="Calibri" w:cs="NiveauGroteskRegular"/>
                          <w:color w:val="000000"/>
                          <w:sz w:val="18"/>
                          <w:szCs w:val="18"/>
                          <w:lang w:val="fr-FR"/>
                        </w:rPr>
                        <w:t xml:space="preserve">Lire et Écrire Communauté française – Cécilia </w:t>
                      </w:r>
                      <w:proofErr w:type="spellStart"/>
                      <w:r w:rsidRPr="00A64DA9">
                        <w:rPr>
                          <w:rFonts w:ascii="Calibri" w:hAnsi="Calibri" w:cs="NiveauGroteskRegular"/>
                          <w:color w:val="000000"/>
                          <w:sz w:val="18"/>
                          <w:szCs w:val="18"/>
                          <w:lang w:val="fr-FR"/>
                        </w:rPr>
                        <w:t>Locmant</w:t>
                      </w:r>
                      <w:proofErr w:type="spellEnd"/>
                      <w:r w:rsidR="00A64DA9">
                        <w:rPr>
                          <w:rFonts w:ascii="Calibri" w:hAnsi="Calibri" w:cs="NiveauGroteskRegular"/>
                          <w:color w:val="000000"/>
                          <w:sz w:val="18"/>
                          <w:szCs w:val="18"/>
                          <w:lang w:val="fr-FR"/>
                        </w:rPr>
                        <w:t> :</w:t>
                      </w:r>
                      <w:r w:rsidR="00A64DA9">
                        <w:rPr>
                          <w:rFonts w:ascii="Calibri" w:hAnsi="Calibri" w:cs="NiveauGroteskRegular"/>
                          <w:color w:val="000000"/>
                          <w:sz w:val="18"/>
                          <w:szCs w:val="18"/>
                          <w:lang w:val="fr-FR"/>
                        </w:rPr>
                        <w:br/>
                      </w:r>
                      <w:r w:rsidRPr="00A64DA9">
                        <w:rPr>
                          <w:rFonts w:ascii="Calibri" w:hAnsi="Calibri" w:cs="NiveauGroteskRegular"/>
                          <w:color w:val="000000"/>
                          <w:sz w:val="18"/>
                          <w:szCs w:val="18"/>
                          <w:lang w:val="fr-FR"/>
                        </w:rPr>
                        <w:t xml:space="preserve">02 502 72 01 – 0474 33 85 60 – </w:t>
                      </w:r>
                      <w:hyperlink r:id="rId16">
                        <w:r w:rsidRPr="00A64DA9">
                          <w:rPr>
                            <w:rStyle w:val="Lienhypertexte"/>
                            <w:rFonts w:ascii="Calibri" w:hAnsi="Calibri" w:cs="NiveauGroteskRegular"/>
                            <w:sz w:val="18"/>
                            <w:szCs w:val="18"/>
                            <w:lang w:val="fr-FR"/>
                          </w:rPr>
                          <w:t>cecilia.locmant@lire-et-ecrire.be</w:t>
                        </w:r>
                      </w:hyperlink>
                    </w:p>
                    <w:p w:rsidR="009A0A25" w:rsidRPr="00A64DA9" w:rsidRDefault="00043269" w:rsidP="00A64DA9">
                      <w:pPr>
                        <w:pStyle w:val="Contenudecadre"/>
                        <w:spacing w:before="120" w:after="120" w:line="252" w:lineRule="auto"/>
                      </w:pPr>
                      <w:r w:rsidRPr="00A64DA9">
                        <w:rPr>
                          <w:rFonts w:ascii="Calibri" w:hAnsi="Calibri" w:cs="Calibri"/>
                          <w:color w:val="000000"/>
                          <w:sz w:val="18"/>
                          <w:szCs w:val="18"/>
                          <w:lang w:val="fr-FR"/>
                        </w:rPr>
                        <w:t xml:space="preserve">Des informations plus détaillées se trouvent sur notre page de campagne : </w:t>
                      </w:r>
                      <w:hyperlink r:id="rId17">
                        <w:r w:rsidRPr="00A64DA9">
                          <w:rPr>
                            <w:rStyle w:val="Lienhypertexte"/>
                            <w:rFonts w:ascii="Calibri" w:hAnsi="Calibri"/>
                            <w:sz w:val="18"/>
                            <w:szCs w:val="18"/>
                          </w:rPr>
                          <w:t>https://lire-et-ecrire.be/votons</w:t>
                        </w:r>
                      </w:hyperlink>
                    </w:p>
                  </w:txbxContent>
                </v:textbox>
                <w10:wrap anchorx="margin"/>
              </v:rect>
            </w:pict>
          </mc:Fallback>
        </mc:AlternateContent>
      </w:r>
      <w:r>
        <w:rPr>
          <w:rFonts w:ascii="Calibri" w:hAnsi="Calibri"/>
          <w:noProof/>
          <w:color w:val="000000"/>
        </w:rPr>
        <w:drawing>
          <wp:anchor distT="0" distB="0" distL="114300" distR="114300" simplePos="0" relativeHeight="251663360" behindDoc="0" locked="0" layoutInCell="1" allowOverlap="1" wp14:anchorId="013E60EE">
            <wp:simplePos x="0" y="0"/>
            <wp:positionH relativeFrom="column">
              <wp:posOffset>5046980</wp:posOffset>
            </wp:positionH>
            <wp:positionV relativeFrom="paragraph">
              <wp:posOffset>924560</wp:posOffset>
            </wp:positionV>
            <wp:extent cx="845185" cy="845185"/>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845185" cy="845185"/>
                    </a:xfrm>
                    <a:prstGeom prst="rect">
                      <a:avLst/>
                    </a:prstGeom>
                  </pic:spPr>
                </pic:pic>
              </a:graphicData>
            </a:graphic>
            <wp14:sizeRelH relativeFrom="page">
              <wp14:pctWidth>0</wp14:pctWidth>
            </wp14:sizeRelH>
            <wp14:sizeRelV relativeFrom="page">
              <wp14:pctHeight>0</wp14:pctHeight>
            </wp14:sizeRelV>
          </wp:anchor>
        </w:drawing>
      </w:r>
      <w:r w:rsidR="00043269" w:rsidRPr="003B543C">
        <w:rPr>
          <w:rFonts w:eastAsia="Times New Roman" w:cstheme="minorHAnsi"/>
          <w:color w:val="000000"/>
          <w:lang w:eastAsia="fr-BE"/>
        </w:rPr>
        <w:t>Ces évènements seront l’occasion pour les régionales de Lire et Écrire de faire part de revendications plus spécifiques et en lien avec leurs réalités territoriales. Lors de ces actions, un tract rappelant le message de la campagne et les coordonnées de nos différentes équipes sera distribué au grand public et aux responsables politiques.</w:t>
      </w:r>
    </w:p>
    <w:sectPr w:rsidR="00A64DA9" w:rsidRPr="001B7B94" w:rsidSect="00CB6E2B">
      <w:footerReference w:type="even" r:id="rId19"/>
      <w:footerReference w:type="default" r:id="rId20"/>
      <w:footerReference w:type="first" r:id="rId21"/>
      <w:pgSz w:w="11906" w:h="16838"/>
      <w:pgMar w:top="1276"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640" w:rsidRDefault="00043269">
      <w:pPr>
        <w:spacing w:after="0" w:line="240" w:lineRule="auto"/>
      </w:pPr>
      <w:r>
        <w:separator/>
      </w:r>
    </w:p>
  </w:endnote>
  <w:endnote w:type="continuationSeparator" w:id="0">
    <w:p w:rsidR="00881640" w:rsidRDefault="000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NiveauGrotesk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25" w:rsidRDefault="009A0A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309746"/>
      <w:docPartObj>
        <w:docPartGallery w:val="Page Numbers (Bottom of Page)"/>
        <w:docPartUnique/>
      </w:docPartObj>
    </w:sdtPr>
    <w:sdtEndPr/>
    <w:sdtContent>
      <w:p w:rsidR="009A0A25" w:rsidRDefault="00043269">
        <w:pPr>
          <w:pStyle w:val="Pieddepage"/>
          <w:jc w:val="right"/>
        </w:pPr>
        <w:r>
          <w:fldChar w:fldCharType="begin"/>
        </w:r>
        <w:r>
          <w:instrText xml:space="preserve"> PAGE </w:instrText>
        </w:r>
        <w:r>
          <w:fldChar w:fldCharType="separate"/>
        </w:r>
        <w:r>
          <w:t>2</w:t>
        </w:r>
        <w:r>
          <w:fldChar w:fldCharType="end"/>
        </w:r>
      </w:p>
    </w:sdtContent>
  </w:sdt>
  <w:p w:rsidR="009A0A25" w:rsidRDefault="009A0A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70344"/>
      <w:docPartObj>
        <w:docPartGallery w:val="Page Numbers (Bottom of Page)"/>
        <w:docPartUnique/>
      </w:docPartObj>
    </w:sdtPr>
    <w:sdtEndPr/>
    <w:sdtContent>
      <w:p w:rsidR="009A0A25" w:rsidRDefault="00043269">
        <w:pPr>
          <w:pStyle w:val="Pieddepage"/>
          <w:jc w:val="right"/>
        </w:pPr>
        <w:r>
          <w:fldChar w:fldCharType="begin"/>
        </w:r>
        <w:r>
          <w:instrText xml:space="preserve"> PAGE </w:instrText>
        </w:r>
        <w:r>
          <w:fldChar w:fldCharType="separate"/>
        </w:r>
        <w:r>
          <w:t>2</w:t>
        </w:r>
        <w:r>
          <w:fldChar w:fldCharType="end"/>
        </w:r>
      </w:p>
    </w:sdtContent>
  </w:sdt>
  <w:p w:rsidR="009A0A25" w:rsidRDefault="009A0A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640" w:rsidRDefault="00043269">
      <w:pPr>
        <w:spacing w:after="0" w:line="240" w:lineRule="auto"/>
      </w:pPr>
      <w:r>
        <w:separator/>
      </w:r>
    </w:p>
  </w:footnote>
  <w:footnote w:type="continuationSeparator" w:id="0">
    <w:p w:rsidR="00881640" w:rsidRDefault="00043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3DCC"/>
    <w:multiLevelType w:val="multilevel"/>
    <w:tmpl w:val="08A6331A"/>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A5310A"/>
    <w:multiLevelType w:val="multilevel"/>
    <w:tmpl w:val="FAE264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5"/>
    <w:rsid w:val="00043269"/>
    <w:rsid w:val="001B7B94"/>
    <w:rsid w:val="003B543C"/>
    <w:rsid w:val="004B0846"/>
    <w:rsid w:val="004F5EA3"/>
    <w:rsid w:val="00881640"/>
    <w:rsid w:val="009A0A25"/>
    <w:rsid w:val="00A64DA9"/>
    <w:rsid w:val="00CB6E2B"/>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C755"/>
  <w15:docId w15:val="{8015A589-7FAC-4996-915C-5DF3BEC0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3">
    <w:name w:val="heading 3"/>
    <w:basedOn w:val="Normal"/>
    <w:next w:val="Normal"/>
    <w:link w:val="Titre3Car"/>
    <w:uiPriority w:val="9"/>
    <w:semiHidden/>
    <w:unhideWhenUsed/>
    <w:qFormat/>
    <w:rsid w:val="00EC19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873041"/>
    <w:rPr>
      <w:rFonts w:ascii="Tahoma" w:hAnsi="Tahoma" w:cs="Tahoma"/>
      <w:sz w:val="16"/>
      <w:szCs w:val="16"/>
    </w:rPr>
  </w:style>
  <w:style w:type="character" w:styleId="Marquedecommentaire">
    <w:name w:val="annotation reference"/>
    <w:basedOn w:val="Policepardfaut"/>
    <w:uiPriority w:val="99"/>
    <w:semiHidden/>
    <w:unhideWhenUsed/>
    <w:qFormat/>
    <w:rsid w:val="00D44EF5"/>
    <w:rPr>
      <w:sz w:val="16"/>
      <w:szCs w:val="16"/>
    </w:rPr>
  </w:style>
  <w:style w:type="character" w:customStyle="1" w:styleId="CommentaireCar">
    <w:name w:val="Commentaire Car"/>
    <w:basedOn w:val="Policepardfaut"/>
    <w:link w:val="Commentaire"/>
    <w:uiPriority w:val="99"/>
    <w:semiHidden/>
    <w:qFormat/>
    <w:rsid w:val="00D44EF5"/>
    <w:rPr>
      <w:sz w:val="20"/>
      <w:szCs w:val="20"/>
    </w:rPr>
  </w:style>
  <w:style w:type="character" w:customStyle="1" w:styleId="ObjetducommentaireCar">
    <w:name w:val="Objet du commentaire Car"/>
    <w:basedOn w:val="CommentaireCar"/>
    <w:link w:val="Objetducommentaire"/>
    <w:uiPriority w:val="99"/>
    <w:semiHidden/>
    <w:qFormat/>
    <w:rsid w:val="00D44EF5"/>
    <w:rPr>
      <w:b/>
      <w:bCs/>
      <w:sz w:val="20"/>
      <w:szCs w:val="20"/>
    </w:rPr>
  </w:style>
  <w:style w:type="character" w:customStyle="1" w:styleId="Aucun">
    <w:name w:val="Aucun"/>
    <w:qFormat/>
    <w:rsid w:val="00D87569"/>
  </w:style>
  <w:style w:type="character" w:customStyle="1" w:styleId="Titre3Car">
    <w:name w:val="Titre 3 Car"/>
    <w:basedOn w:val="Policepardfaut"/>
    <w:link w:val="Titre3"/>
    <w:uiPriority w:val="9"/>
    <w:semiHidden/>
    <w:qFormat/>
    <w:rsid w:val="00EC1922"/>
    <w:rPr>
      <w:rFonts w:asciiTheme="majorHAnsi" w:eastAsiaTheme="majorEastAsia" w:hAnsiTheme="majorHAnsi" w:cstheme="majorBidi"/>
      <w:b/>
      <w:bCs/>
      <w:color w:val="4F81BD" w:themeColor="accent1"/>
    </w:rPr>
  </w:style>
  <w:style w:type="character" w:customStyle="1" w:styleId="NotedebasdepageCar">
    <w:name w:val="Note de bas de page Car"/>
    <w:basedOn w:val="Policepardfaut"/>
    <w:link w:val="Notedebasdepage"/>
    <w:uiPriority w:val="99"/>
    <w:qFormat/>
    <w:rsid w:val="00915E26"/>
    <w:rPr>
      <w:rFonts w:ascii="Times New Roman" w:eastAsia="Times New Roman" w:hAnsi="Times New Roman" w:cs="Times New Roman"/>
      <w:sz w:val="20"/>
      <w:szCs w:val="20"/>
      <w:lang w:val="fr-FR" w:eastAsia="fr-FR"/>
    </w:rPr>
  </w:style>
  <w:style w:type="character" w:styleId="Appelnotedebasdep">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uiPriority w:val="99"/>
    <w:qFormat/>
    <w:rsid w:val="00915E26"/>
    <w:rPr>
      <w:vertAlign w:val="superscript"/>
    </w:rPr>
  </w:style>
  <w:style w:type="character" w:customStyle="1" w:styleId="NotedefinCar">
    <w:name w:val="Note de fin Car"/>
    <w:basedOn w:val="Policepardfaut"/>
    <w:link w:val="Notedefin"/>
    <w:uiPriority w:val="99"/>
    <w:semiHidden/>
    <w:qFormat/>
    <w:rsid w:val="006E17EA"/>
    <w:rPr>
      <w:sz w:val="20"/>
      <w:szCs w:val="20"/>
    </w:rPr>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basedOn w:val="Policepardfaut"/>
    <w:uiPriority w:val="99"/>
    <w:semiHidden/>
    <w:unhideWhenUsed/>
    <w:qFormat/>
    <w:rsid w:val="006E17EA"/>
    <w:rPr>
      <w:vertAlign w:val="superscript"/>
    </w:rPr>
  </w:style>
  <w:style w:type="character" w:customStyle="1" w:styleId="En-tteCar">
    <w:name w:val="En-tête Car"/>
    <w:basedOn w:val="Policepardfaut"/>
    <w:link w:val="En-tte"/>
    <w:uiPriority w:val="99"/>
    <w:qFormat/>
    <w:rsid w:val="00282927"/>
  </w:style>
  <w:style w:type="character" w:customStyle="1" w:styleId="PieddepageCar">
    <w:name w:val="Pied de page Car"/>
    <w:basedOn w:val="Policepardfaut"/>
    <w:link w:val="Pieddepage"/>
    <w:uiPriority w:val="99"/>
    <w:qFormat/>
    <w:rsid w:val="00282927"/>
  </w:style>
  <w:style w:type="character" w:customStyle="1" w:styleId="InternetLink">
    <w:name w:val="Internet Link"/>
    <w:basedOn w:val="Policepardfaut"/>
    <w:uiPriority w:val="99"/>
    <w:unhideWhenUsed/>
    <w:qFormat/>
    <w:rsid w:val="003557B9"/>
    <w:rPr>
      <w:color w:val="0000FF" w:themeColor="hyperlink"/>
      <w:u w:val="single"/>
    </w:rPr>
  </w:style>
  <w:style w:type="character" w:customStyle="1" w:styleId="TextebrutCar">
    <w:name w:val="Texte brut Car"/>
    <w:basedOn w:val="Policepardfaut"/>
    <w:link w:val="Textebrut"/>
    <w:uiPriority w:val="99"/>
    <w:qFormat/>
    <w:rsid w:val="003557B9"/>
    <w:rPr>
      <w:rFonts w:ascii="Calibri" w:hAnsi="Calibri"/>
      <w:szCs w:val="21"/>
    </w:rPr>
  </w:style>
  <w:style w:type="character" w:styleId="Mentionnonrsolue">
    <w:name w:val="Unresolved Mention"/>
    <w:basedOn w:val="Policepardfaut"/>
    <w:uiPriority w:val="99"/>
    <w:semiHidden/>
    <w:unhideWhenUsed/>
    <w:qFormat/>
    <w:rsid w:val="00F92601"/>
    <w:rPr>
      <w:color w:val="605E5C"/>
      <w:shd w:val="clear" w:color="auto" w:fill="E1DFDD"/>
    </w:rPr>
  </w:style>
  <w:style w:type="character" w:customStyle="1" w:styleId="InternetLink1">
    <w:name w:val="Internet Link1"/>
    <w:qFormat/>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873041"/>
    <w:pPr>
      <w:spacing w:after="0" w:line="240" w:lineRule="auto"/>
    </w:pPr>
    <w:rPr>
      <w:rFonts w:ascii="Tahoma" w:hAnsi="Tahoma" w:cs="Tahoma"/>
      <w:sz w:val="16"/>
      <w:szCs w:val="16"/>
    </w:rPr>
  </w:style>
  <w:style w:type="paragraph" w:styleId="Paragraphedeliste">
    <w:name w:val="List Paragraph"/>
    <w:basedOn w:val="Normal"/>
    <w:uiPriority w:val="34"/>
    <w:qFormat/>
    <w:rsid w:val="00451A75"/>
    <w:pPr>
      <w:ind w:left="720"/>
      <w:contextualSpacing/>
    </w:pPr>
    <w:rPr>
      <w:rFonts w:ascii="Calibri" w:eastAsia="Calibri" w:hAnsi="Calibri" w:cs="Times New Roman"/>
    </w:rPr>
  </w:style>
  <w:style w:type="paragraph" w:customStyle="1" w:styleId="Default">
    <w:name w:val="Default"/>
    <w:qFormat/>
    <w:rsid w:val="00930811"/>
    <w:rPr>
      <w:rFonts w:ascii="Gill Sans MT" w:eastAsia="Times New Roman" w:hAnsi="Gill Sans MT" w:cs="Gill Sans MT"/>
      <w:color w:val="000000"/>
      <w:sz w:val="24"/>
      <w:szCs w:val="24"/>
      <w:lang w:eastAsia="fr-BE"/>
    </w:rPr>
  </w:style>
  <w:style w:type="paragraph" w:styleId="Commentaire">
    <w:name w:val="annotation text"/>
    <w:basedOn w:val="Normal"/>
    <w:link w:val="CommentaireCar"/>
    <w:uiPriority w:val="99"/>
    <w:semiHidden/>
    <w:unhideWhenUsed/>
    <w:rsid w:val="00D44EF5"/>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D44EF5"/>
    <w:rPr>
      <w:b/>
      <w:bCs/>
    </w:rPr>
  </w:style>
  <w:style w:type="paragraph" w:styleId="Notedebasdepage">
    <w:name w:val="footnote text"/>
    <w:basedOn w:val="Normal"/>
    <w:link w:val="NotedebasdepageCar"/>
    <w:uiPriority w:val="99"/>
    <w:rsid w:val="00915E26"/>
    <w:pPr>
      <w:spacing w:after="0" w:line="240" w:lineRule="auto"/>
    </w:pPr>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6E17EA"/>
    <w:pPr>
      <w:spacing w:after="0" w:line="240" w:lineRule="auto"/>
    </w:pPr>
    <w:rPr>
      <w:sz w:val="20"/>
      <w:szCs w:val="20"/>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282927"/>
    <w:pPr>
      <w:tabs>
        <w:tab w:val="center" w:pos="4536"/>
        <w:tab w:val="right" w:pos="9072"/>
      </w:tabs>
      <w:spacing w:after="0" w:line="240" w:lineRule="auto"/>
    </w:pPr>
  </w:style>
  <w:style w:type="paragraph" w:styleId="Pieddepage">
    <w:name w:val="footer"/>
    <w:basedOn w:val="Normal"/>
    <w:link w:val="PieddepageCar"/>
    <w:uiPriority w:val="99"/>
    <w:unhideWhenUsed/>
    <w:rsid w:val="00282927"/>
    <w:pPr>
      <w:tabs>
        <w:tab w:val="center" w:pos="4536"/>
        <w:tab w:val="right" w:pos="9072"/>
      </w:tabs>
      <w:spacing w:after="0" w:line="240" w:lineRule="auto"/>
    </w:pPr>
  </w:style>
  <w:style w:type="paragraph" w:styleId="Textebrut">
    <w:name w:val="Plain Text"/>
    <w:basedOn w:val="Normal"/>
    <w:link w:val="TextebrutCar"/>
    <w:uiPriority w:val="99"/>
    <w:unhideWhenUsed/>
    <w:qFormat/>
    <w:rsid w:val="003557B9"/>
    <w:pPr>
      <w:spacing w:after="0" w:line="240" w:lineRule="auto"/>
    </w:pPr>
    <w:rPr>
      <w:rFonts w:ascii="Calibri" w:hAnsi="Calibri"/>
      <w:szCs w:val="21"/>
    </w:rPr>
  </w:style>
  <w:style w:type="paragraph" w:customStyle="1" w:styleId="Contenudecadre">
    <w:name w:val="Contenu de cadre"/>
    <w:basedOn w:val="Normal"/>
    <w:qFormat/>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lire-et-ecrire.be/votons" TargetMode="External"/><Relationship Id="rId2" Type="http://schemas.openxmlformats.org/officeDocument/2006/relationships/numbering" Target="numbering.xml"/><Relationship Id="rId16" Type="http://schemas.openxmlformats.org/officeDocument/2006/relationships/hyperlink" Target="mailto:cecilia.locmant@lire-et-ecrire.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lire-et-ecrire.be/voton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ecilia.locmant@lire-et-ecrire.b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045A-230B-45D3-8A3F-B59FA3BD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692</Words>
  <Characters>3808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Cecilia.Locmant</dc:creator>
  <dc:description/>
  <cp:lastModifiedBy>Yannick Bailly</cp:lastModifiedBy>
  <cp:revision>19</cp:revision>
  <cp:lastPrinted>2024-08-21T11:44:00Z</cp:lastPrinted>
  <dcterms:created xsi:type="dcterms:W3CDTF">2024-07-02T14:14:00Z</dcterms:created>
  <dcterms:modified xsi:type="dcterms:W3CDTF">2024-08-21T11:52:00Z</dcterms:modified>
  <dc:language>fr-BE</dc:language>
</cp:coreProperties>
</file>